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notion and processing procedures are intended to produce non-infectious blood components, bacterial contamination still may occur.  Surveillance studies have found rates of contamination as high as 0.4% in single donor platelets, although rates at or below 0.2% are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