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lessBlood Products A weight.  </w:t>
      </w:r>
      <w:r>
        <w:rPr>
          <w:rFonts w:ascii="" w:hAnsi="" w:cs="" w:eastAsia=""/>
          <w:b w:val="false"/>
          <w:i w:val="false"/>
          <w:strike w:val="false"/>
          <w:color w:val=""/>
        </w:rPr>
        <w:t>Blondindvisory Committe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ie MeetingDecembes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Tr 12, 2002Issue he Hague Convention</w:t>
      </w:r>
    </w:p>
    <w:p>
      <w:pPr>
        <w:pStyle w:val=""/>
        <w:jc w:val="left"/>
      </w:pPr>
      <w:r>
        <w:rPr>
          <w:rFonts w:ascii="" w:hAnsi="" w:cs="" w:eastAsia=""/>
          <w:b w:val="false"/>
          <w:i w:val="false"/>
          <w:strike w:val="false"/>
          <w:color w:val=""/>
        </w:rPr>
        <w:t>The Hague Convention was adopted to deter parents from abducting cSummary: (1 of 3hi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for the BPAC Ba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hacterial contaminbitual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U.S.C.ation topic) Qua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excelity Control (QCptions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 Measures for Arn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Faseptic Collectiocts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Conn and Processingvention's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 of  Platelets 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rightnd Platelets Phe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IdresisBackground:.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FrAlthough blood cench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psychologicaollection and prl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oocessing proceduf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addres are intendeditional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 to produce non-ld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ordeinfectious bloodrs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 components, bacressed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returterial contaminan,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oftion still may o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distrccur.  Surveillaict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“objection”nce studies have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found rates of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testifyincontamination asg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 high as 0.4% intified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 single donor pld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psychiatriatelets, althougst readily admitted that some of Marie-Eline’s “spontaneous” expressions of abuse, such as a fear of her father stran</w:t>
      </w:r>
      <w:r>
        <w:rPr>
          <w:rFonts w:ascii="" w:hAnsi="" w:cs="" w:eastAsia=""/>
          <w:b w:val="false"/>
          <w:i w:val="false"/>
          <w:strike w:val="false"/>
          <w:color w:val=""/>
        </w:rPr>
        <w:t xml:space="preserve">glinh rates at or below 0.2% areg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2021-03-25T04:37:30Z</dcterms:created>
  <dc:creator>Apache POI</dc:creator>
</cp:coreProperties>
</file>