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contracMorphological and physiological differences among resident and 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"Estcoaster brook trout juveniles, Lindsey M. Larson, Rachel R. Holablished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quantiman, Jesse L. Karner, J. B. K. Leonard*, Northern Michigan Univties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persity, Biology Department, Marquette, MI 49855, jileonar@nmu.eercentage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duMigratory freshwater brook trout (Salvelinus fontinalis), comContracting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establmonly called coasters, are a vital part of the Lake Superior waished price, but, if ntershed, but with limited data available on their life history,ot,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it has been difficult to classify their role within the Salmonprice shall be executed under this clausidae family.  Brook trout exhibit highly variable life history e until the Conttraits within the species; there often exist both anadromous (mracting Officer has veigrant) and nonanadromous (non-migrant or resident) forms withirified the increase in the </w:t>
      </w:r>
      <w:r>
        <w:rPr>
          <w:rFonts w:ascii="Courier New" w:hAnsi="Courier New" w:cs="Courier New" w:eastAsia="Courier New"/>
          <w:b w:val="false"/>
          <w:i w:val="false"/>
          <w:strike w:val="false"/>
          <w:color w:val=""/>
          <w:sz w:val="24"/>
        </w:rPr>
        <w:t>an a population.  Lake Superior coaster brook trout typically ocpplicable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timecupy near-shore areas at one time or another during their lives of cancellat.  The mechanisms involved in the determination of migration orion.  However, if the Contractor certifies to th residency are not well understood, however, morphometrics and e Contracting Officer bthe metabolism of the fish likely play important roles.  It is believed thay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