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ConMorphological and physiological difftractor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erences among resident and coaster brcontract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