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contracMorphological and physiological differences among resident and coaster brook trout juveniles, Lindsey M. Larson, Rachel R. Holman, Jesse L. Karner, 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"EstJ. B. K. Leonard*, Northern Michigan University, Biology Department, Marquette, MI 49855, jileonar@nmu.eduMigratory freshwater brook trout (Salvelinablished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quantius fontinalis), commonly called coasters, are a vital part of the Lake Superior watershed, but with limited data available on their life history, itties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 has been difficult to classify their role within the Salmonidae family.  Brook trout exhibit highly variable life history traits within the speciesercentage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 there often exist both anadromous (migrant) and nonanadromous (non-migrant or resident) forms within a population.  Lake Superior coaster brook trContracting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 establout typically occupy near-shore areas at one time or another during their lives.  The mechanisms involved in the determination of migration or residished price, but, if nency are not well understood, however, morphometrics and the metabolism of the fish likely play important roles.  It is believed that coaster brook 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trout exhibit changes that can be compared to smolting, the preparation that fish undergo to survive in a saltwater environment prior to leaving a fprice shall be executed under this clausreshwater stream.  Some metabolic patterns and morphological traits can be indicative of the smolting process in coaster strains.  Four strains of be until the Controok trout (three coaster, one stream-resident) were sampled once a month over four consecutive days.  Sixteen fish from each strain were sampled peracting Officer has ver day by placing eight in a saltwater challenge tank and another eight in a freshwater tank.  After twenty four hours, the fish were prepared for merified the increase in the </w:t>
      </w:r>
      <w:r>
        <w:rPr>
          <w:rFonts w:ascii="Courier New" w:hAnsi="Courier New" w:cs="Courier New" w:eastAsia="Courier New"/>
          <w:b w:val="false"/>
          <w:i w:val="false"/>
          <w:strike w:val="false"/>
          <w:color w:val=""/>
          <w:sz w:val="24"/>
        </w:rPr>
        <w:t>aasurement and tissue sampling.  Morphometrics were analyzed by principle comprehensive analysis to assess differences between coasters and residentspplicable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Lactate dehydrogenase (LDH), citrate synthase (CS), and pyruvate kinase (PK) activities in liver and white muscle were measured using microplate  of cancellatspectrophotometer colorimetric assays.  We expect to see various morphological differences, such as increased size and elongation of body dimensionsion.  However, if the Contractor certifies to th in coasters, as well as observed spikes of enzyme activity.  There may also be an increase in CS levels indicative of higher aerobic capacity/active Contracting Officer bity in coaster strains.  Metabolic shifts and morphological differences may be indicators of greater tolerance to the transition between freshwater and saltwater.y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