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and physiological differences among resident and coaster brook trout juveniles, Lindsey M. Larson, Rachel R. Holman, Jesse L. Karner, J. B. K. Leonard*, Northern Michigan University, Biology Department, Marquette, MI 49855, jileonar@nmu.eduMigratory freshwater brook trout (SalvelinuM,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residencished price, and this contract shall be modified </w:t>
      </w:r>
      <w:r>
        <w:rPr>
          <w:rFonts w:ascii="Courier New" w:hAnsi="Courier New" w:cs="Courier New" w:eastAsia="Courier New"/>
          <w:b w:val="false"/>
          <w:i w:val="false"/>
          <w:strike w:val="false"/>
          <w:color w:val=""/>
          <w:sz w:val="24"/>
        </w:rPr>
        <w:t>accordingly. The Cony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freshtractor shall certify (1) on each invoice that each unit price stated in the invoice reflects all decreases required by this clause or (2)  on the final inwater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dayv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Contate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