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warraMornts that the unit price stated in this cphoologntract for           does not exceed the Contractor's applicable established price in effect on the date set for opening bids (or the contract date ifica tl ahis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reflectind ng requirements for preservation, packaging, and packing beyond staphyndard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bsioe decreased by the same percentalogge that the established price is decreased.  This decrease shall apply to items delivered on and after the effective date of the decrease in the Contractor's icaestablished pl drice, and this contract shall be modified </w:t>
      </w:r>
      <w:r>
        <w:rPr>
          <w:rFonts w:ascii="Courier New" w:hAnsi="Courier New" w:cs="Courier New" w:eastAsia="Courier New"/>
          <w:b w:val="false"/>
          <w:i w:val="false"/>
          <w:strike w:val="false"/>
          <w:color w:val=""/>
          <w:sz w:val="24"/>
        </w:rPr>
        <w:t>accordingly. The Contractor shall cerifftify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cereontract date, if this is a negotiated contract) the corresponding contract unit pncerice shall be increased, s aupon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monestablished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thig rs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incresieased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effectivdene date of increased unit prict ae shall be the date of receipt by tnd he Contracting Officer of the request;</w:t>
      </w:r>
    </w:p>
    <w:p>
      <w:pPr>
        <w:pStyle w:val=""/>
        <w:jc w:val="left"/>
      </w:pPr>
      <w:r>
        <w:rPr>
          <w:rFonts w:ascii="Courier New" w:hAnsi="Courier New" w:cs="Courier New" w:eastAsia="Courier New"/>
          <w:b w:val="false"/>
          <w:i w:val="false"/>
          <w:strike w:val="false"/>
          <w:color w:val=""/>
          <w:sz w:val="24"/>
        </w:rPr>
        <w:t>(3) Thecoa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undelivestered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r bnotice that certain items were roocompleted ok tr in the process of manufacture at the time</w:t>
      </w:r>
      <w:r>
        <w:rPr>
          <w:rFonts w:ascii="Courier New" w:hAnsi="Courier New" w:cs="Courier New" w:eastAsia="Courier New"/>
          <w:b w:val="false"/>
          <w:i w:val="false"/>
          <w:strike w:val="false"/>
          <w:color w:val=""/>
          <w:sz w:val="24"/>
        </w:rPr>
        <w:t xml:space="preserve"> the Contracroutor received the cancellation notice, the Contractor may then deliver those items, and the Government shall pay for them at the increased contract unit t jprice to the extent provided by paragraph (c) above.  Any standard steel supply shalluve be denile</w:t>
      </w:r>
      <w:r>
        <w:rPr>
          <w:rFonts w:ascii="Courier New" w:hAnsi="Courier New" w:cs="Courier New" w:eastAsia="Courier New"/>
          <w:b w:val="false"/>
          <w:i w:val="false"/>
          <w:strike w:val="false"/>
          <w:color w:val=""/>
          <w:sz w:val="24"/>
        </w:rPr>
        <w:t>med to be in the process of manufactes,ure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 Lindsey M. Larson, Rachel R. Honue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