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place to search for life?Jöons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policrn HelbertInstitute of Planetary ResearchDLRRuthee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otherfordstrasse 2, 12489 BerlinGERMANYjoern.helbert@r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Chatdlr.de Creating a habitable environment is a complextanooga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