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 xml:space="preserve">This and the other related sections of the following workbook—along with the complementary PowerPoint presentations—were funded through the National Oceanic and Atmospheric </w:t>
      </w:r>
      <w:r>
        <w:rPr>
          <w:rFonts w:ascii="" w:hAnsi="" w:cs="" w:eastAsia=""/>
          <w:b w:val="false"/>
          <w:i w:val="false"/>
          <w:strike w:val="false"/>
          <w:color w:val=""/>
        </w:rPr>
        <w:t>Administration’s (NOAA) National Centers for Coastal Ocean Science (NCCOS) and the Office of Ocean and Coastal Resource Management (OCRM).  Steve Bliven of Bliven &amp; Sternack prepared the text and slides under contract to those offices.  All those concerned</w:t>
      </w:r>
      <w:r>
        <w:rPr>
          <w:rFonts w:ascii="" w:hAnsi="" w:cs="" w:eastAsia=""/>
          <w:b w:val="false"/>
          <w:i w:val="false"/>
          <w:strike w:val="false"/>
          <w:color w:val=""/>
        </w:rPr>
        <w:t xml:space="preserve">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Private docks have been implicated in a number of environmental impacts.  Some of these have received scientific investigation and some remain ane</w:t>
      </w:r>
      <w:r>
        <w:rPr>
          <w:rFonts w:ascii="" w:hAnsi="" w:cs="" w:eastAsia=""/>
          <w:b w:val="false"/>
          <w:i w:val="false"/>
          <w:strike w:val="false"/>
          <w:color w:val=""/>
        </w:rPr>
        <w:t>cdotal.  In an attempt to clarify what is known about environmental impacts from docks, NOAA’s National Centers for Coastal Ocean Science convened a workshop in January of 2003.  This session brought together scientists and a group of coastal managers from</w:t>
      </w:r>
      <w:r>
        <w:rPr>
          <w:rFonts w:ascii="" w:hAnsi="" w:cs="" w:eastAsia=""/>
          <w:b w:val="false"/>
          <w:i w:val="false"/>
          <w:strike w:val="false"/>
          <w:color w:val=""/>
        </w:rPr>
        <w:t xml:space="preserve">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w:t>
      </w:r>
      <w:r>
        <w:rPr>
          <w:rFonts w:ascii="" w:hAnsi="" w:cs="" w:eastAsia=""/>
          <w:b w:val="false"/>
          <w:i w:val="false"/>
          <w:strike w:val="false"/>
          <w:color w:val=""/>
        </w:rPr>
        <w:t>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Marsh plants and submer</w:t>
      </w:r>
      <w:r>
        <w:rPr>
          <w:rFonts w:ascii="" w:hAnsi="" w:cs="" w:eastAsia=""/>
          <w:b w:val="false"/>
          <w:i w:val="false"/>
          <w:strike w:val="false"/>
          <w:color w:val=""/>
        </w:rPr>
        <w:t xml:space="preserve">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1981; Teal, 1962, 196</w:t>
      </w:r>
      <w:r>
        <w:rPr>
          <w:rFonts w:ascii="" w:hAnsi="" w:cs="" w:eastAsia=""/>
          <w:b w:val="false"/>
          <w:i w:val="false"/>
          <w:strike w:val="false"/>
          <w:color w:val=""/>
        </w:rPr>
        <w:t xml:space="preserve">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w:t>
      </w:r>
      <w:r>
        <w:rPr>
          <w:rFonts w:ascii="" w:hAnsi="" w:cs="" w:eastAsia=""/>
          <w:b w:val="false"/>
          <w:i w:val="false"/>
          <w:strike w:val="false"/>
          <w:color w:val=""/>
        </w:rPr>
        <w:t>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Impacts from boat use (covered later i</w:t>
      </w:r>
      <w:r>
        <w:rPr>
          <w:rFonts w:ascii="" w:hAnsi="" w:cs="" w:eastAsia=""/>
          <w:b w:val="false"/>
          <w:i w:val="false"/>
          <w:strike w:val="false"/>
          <w:color w:val=""/>
        </w:rPr>
        <w:t xml:space="preserve">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w:t>
      </w:r>
      <w:r>
        <w:rPr>
          <w:rFonts w:ascii="Arial" w:hAnsi="Arial" w:cs="Arial" w:eastAsia="Arial"/>
          <w:b w:val="false"/>
          <w:i w:val="true"/>
          <w:strike w:val="false"/>
          <w:color w:val=""/>
          <w:sz w:val="22"/>
        </w:rPr>
        <w:t>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w:t>
      </w:r>
      <w:r>
        <w:rPr>
          <w:rFonts w:ascii="Arial" w:hAnsi="Arial" w:cs="Arial" w:eastAsia="Arial"/>
          <w:b w:val="false"/>
          <w:i w:val="false"/>
          <w:strike w:val="false"/>
          <w:color w:val=""/>
          <w:sz w:val="22"/>
        </w:rPr>
        <w:t>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Setting pilings in sea grass beds may have immediate impacts as well as causing long-term changes.  The act of ins</w:t>
      </w:r>
      <w:r>
        <w:rPr>
          <w:rFonts w:ascii="Arial" w:hAnsi="Arial" w:cs="Arial" w:eastAsia="Arial"/>
          <w:b w:val="false"/>
          <w:i w:val="false"/>
          <w:strike w:val="false"/>
          <w:color w:val=""/>
          <w:sz w:val="22"/>
        </w:rPr>
        <w:t>talling pilings destroys any vegetation within the footprint of the pilings.  The use of “jetting” with high-pressure hoses typically disturbs adjacent vegetation and sediments—depopulating grasses existing there prior to construction.  Once areas are depo</w:t>
      </w:r>
      <w:r>
        <w:rPr>
          <w:rFonts w:ascii="Arial" w:hAnsi="Arial" w:cs="Arial" w:eastAsia="Arial"/>
          <w:b w:val="false"/>
          <w:i w:val="false"/>
          <w:strike w:val="false"/>
          <w:color w:val=""/>
          <w:sz w:val="22"/>
        </w:rPr>
        <w:t>pulated, the presence of pilings may lessen chances for regrowth.  Beal, Schmit, and Williams (1999) suggest that changes in seagrass communities in the vicinity of pilings may be causedPeer Reviewed PublicationsFrom MMS Environmental Studies1999 – 2003Aaron, T., D.K. Mellinger, and A. Martinez.  2002.  Passive three-dimensional tracking of sperm whales using two towed arrays during the 2001 SWAMP cruise.  The Journal of the Acoustical Society of America.  November 2002, 112(5):2399.Abookire, A. A.; Piatt, J. F., and Norcross, B. L. Juvenile groundfish habitat in  Kachemak Bay, Alaska by the modification of currents, sediment deposition, attraction of b</w:t>
      </w:r>
      <w:r>
        <w:rPr>
          <w:rFonts w:ascii="Arial" w:hAnsi="Arial" w:cs="Arial" w:eastAsia="Arial"/>
          <w:b w:val="false"/>
          <w:i w:val="false"/>
          <w:strike w:val="false"/>
          <w:color w:val=""/>
          <w:sz w:val="22"/>
        </w:rPr>
        <w:t xml:space="preserve">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w:t>
      </w:r>
      <w:r>
        <w:rPr>
          <w:rFonts w:ascii="Arial" w:hAnsi="Arial" w:cs="Arial" w:eastAsia="Arial"/>
          <w:b w:val="false"/>
          <w:i w:val="false"/>
          <w:strike w:val="false"/>
          <w:color w:val=""/>
          <w:sz w:val="22"/>
        </w:rPr>
        <w:t xml:space="preserve">ugh the age of these docks varied widely” suggesting that regrowth is affected by the presence of pilings.  Use of high pressure jetting produced a six- to seven-foot diameter hole around each piling, which was then backfilled to hold the piling in place. </w:t>
      </w:r>
      <w:r>
        <w:rPr>
          <w:rFonts w:ascii="Arial" w:hAnsi="Arial" w:cs="Arial" w:eastAsia="Arial"/>
          <w:b w:val="false"/>
          <w:i w:val="false"/>
          <w:strike w:val="false"/>
          <w:color w:val=""/>
          <w:sz w:val="22"/>
        </w:rPr>
        <w:t xml:space="preserve"> The resultant “halo” might remain for 10 years without seagrass regrowth.  The authors found that where piles were installed using low-pressure jetting techniques there was, “little or no sand deposition around the pilings and the remaining seagrasses aro</w:t>
      </w:r>
      <w:r>
        <w:rPr>
          <w:rFonts w:ascii="Arial" w:hAnsi="Arial" w:cs="Arial" w:eastAsia="Arial"/>
          <w:b w:val="false"/>
          <w:i w:val="false"/>
          <w:strike w:val="false"/>
          <w:color w:val=""/>
          <w:sz w:val="22"/>
        </w:rPr>
        <w:t xml:space="preserve">und the pilings looked healthy and had good growth around the piling.”  </w:t>
      </w:r>
    </w:p>
    <w:p>
      <w:pPr>
        <w:pStyle w:val="BodyTextIndent"/>
        <w:jc w:val="left"/>
      </w:pPr>
      <w:r>
        <w:rPr>
          <w:rFonts w:ascii="Arial" w:hAnsi="Arial" w:cs="Arial" w:eastAsia="Arial"/>
          <w:b w:val="false"/>
          <w:i w:val="false"/>
          <w:strike w:val="false"/>
          <w:color w:val=""/>
          <w:sz w:val="22"/>
        </w:rPr>
        <w:t>Dock construction also impacts marsh grass.  Sanger and Holland (2002) noted a barren path through the marsh along each side of a newly constructed dock in North Carolina where veget</w:t>
      </w:r>
      <w:r>
        <w:rPr>
          <w:rFonts w:ascii="Arial" w:hAnsi="Arial" w:cs="Arial" w:eastAsia="Arial"/>
          <w:b w:val="false"/>
          <w:i w:val="false"/>
          <w:strike w:val="false"/>
          <w:color w:val=""/>
          <w:sz w:val="22"/>
        </w:rPr>
        <w:t xml:space="preserve">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w:t>
      </w:r>
      <w:r>
        <w:rPr>
          <w:rFonts w:ascii="Arial" w:hAnsi="Arial" w:cs="Arial" w:eastAsia="Arial"/>
          <w:b w:val="false"/>
          <w:i w:val="false"/>
          <w:strike w:val="false"/>
          <w:color w:val=""/>
          <w:sz w:val="22"/>
        </w:rPr>
        <w:t xml:space="preserve">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w:t>
      </w:r>
      <w:r>
        <w:rPr>
          <w:rFonts w:ascii="Arial" w:hAnsi="Arial" w:cs="Arial" w:eastAsia="Arial"/>
          <w:b w:val="false"/>
          <w:i w:val="false"/>
          <w:strike w:val="false"/>
          <w:color w:val=""/>
          <w:sz w:val="22"/>
        </w:rPr>
        <w:t xml:space="preserve">rates some of the potential impacts from dock shading.  Two thresholds are shown; the minimum amount of light necessary for the plant to reach full growth, and the minimum amount of light for the plant to sustain itself.  Below the first threshold, plants </w:t>
      </w:r>
      <w:r>
        <w:rPr>
          <w:rFonts w:ascii="Arial" w:hAnsi="Arial" w:cs="Arial" w:eastAsia="Arial"/>
          <w:b w:val="false"/>
          <w:i w:val="false"/>
          <w:strike w:val="false"/>
          <w:color w:val=""/>
          <w:sz w:val="22"/>
        </w:rPr>
        <w:t>are stunted in growth or grow tall and spindly in an attempt to reach sunlight.  Below the second threshold, plants die.</w:t>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w:t>
      </w:r>
      <w:r>
        <w:rPr>
          <w:rFonts w:ascii="" w:hAnsi="" w:cs="" w:eastAsia=""/>
          <w:b w:val="false"/>
          <w:i w:val="false"/>
          <w:strike w:val="false"/>
          <w:color w:val=""/>
        </w:rPr>
        <w:t>trates how  the shading of an east-west oriented dock affects light levels and vegetation growth below a dock in Washington state.  The two horizontal lines indicate the light levels necessary for full, unaffected growth of plants (Minimum light needed for</w:t>
      </w:r>
      <w:r>
        <w:rPr>
          <w:rFonts w:ascii="" w:hAnsi="" w:cs="" w:eastAsia=""/>
          <w:b w:val="false"/>
          <w:i w:val="false"/>
          <w:strike w:val="false"/>
          <w:color w:val=""/>
        </w:rPr>
        <w:t xml:space="preserve"> full growth) and the amount of light for plants to live (Minimum light for plant maintenance).  Note that much of the area beneath the illustrated dock is below the threshold for plant life.  Note also that the shading is somewhat offset to the north due </w:t>
      </w:r>
      <w:r>
        <w:rPr>
          <w:rFonts w:ascii="" w:hAnsi="" w:cs="" w:eastAsia=""/>
          <w:b w:val="false"/>
          <w:i w:val="false"/>
          <w:strike w:val="false"/>
          <w:color w:val=""/>
        </w:rPr>
        <w:t>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w:t>
      </w:r>
      <w:r>
        <w:rPr>
          <w:rFonts w:ascii="" w:hAnsi="" w:cs="" w:eastAsia=""/>
          <w:b w:val="false"/>
          <w:i w:val="false"/>
          <w:strike w:val="false"/>
          <w:color w:val=""/>
        </w:rPr>
        <w:t xml:space="preserve">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Light levels necessary for plants to sustain themselves generally range between 12–25 perce</w:t>
      </w:r>
      <w:r>
        <w:rPr>
          <w:rFonts w:ascii="" w:hAnsi="" w:cs="" w:eastAsia=""/>
          <w:b w:val="false"/>
          <w:i w:val="false"/>
          <w:strike w:val="false"/>
          <w:color w:val=""/>
        </w:rPr>
        <w:t xml:space="preserve">nt of ambient light, depending on the species.  Specifically for seagrasses, a National Marine Fisheries Service (NMFS) Technical Memorandum reports that “the light requirements of temperate and tropical seagrasses are very similar” requiring “at least 15 </w:t>
      </w:r>
      <w:r>
        <w:rPr>
          <w:rFonts w:ascii="" w:hAnsi="" w:cs="" w:eastAsia=""/>
          <w:b w:val="false"/>
          <w:i w:val="false"/>
          <w:strike w:val="false"/>
          <w:color w:val=""/>
        </w:rPr>
        <w:t xml:space="preserve">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NMFS’ summary report is supported by</w:t>
      </w:r>
      <w:r>
        <w:rPr>
          <w:rFonts w:ascii="" w:hAnsi="" w:cs="" w:eastAsia=""/>
          <w:b w:val="false"/>
          <w:i w:val="false"/>
          <w:strike w:val="false"/>
          <w:color w:val=""/>
        </w:rPr>
        <w:t xml:space="preserve">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Shaefer (1999) found that seag</w:t>
      </w:r>
      <w:r>
        <w:rPr>
          <w:rFonts w:ascii="" w:hAnsi="" w:cs="" w:eastAsia=""/>
          <w:b w:val="false"/>
          <w:i w:val="false"/>
          <w:strike w:val="false"/>
          <w:color w:val=""/>
        </w:rPr>
        <w:t xml:space="preserve">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w:t>
      </w:r>
      <w:r>
        <w:rPr>
          <w:rFonts w:ascii="" w:hAnsi="" w:cs="" w:eastAsia=""/>
          <w:b w:val="false"/>
          <w:i w:val="false"/>
          <w:strike w:val="false"/>
          <w:color w:val=""/>
        </w:rPr>
        <w:t>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As we have already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2019-01-24T02:24:48Z</dcterms:created>
  <dc:creator>Apache POI</dc:creator>
</cp:coreProperties>
</file>