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Note: This draft evolved from planning staff research and Commission meetings held between 2005 and 2007.  It is intended to serve as a vehicle for discussion at Public Workshops – to stimulate conversation and dialogue about issues of importance in the jurisdiction.  This draft will be revised following public comment and discussion associated with Public Workshops to produce a final draft for the formal Public Hearing process.</w:t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5.4  </w:t>
      </w:r>
      <w:r>
        <w:rPr>
          <w:rFonts w:ascii="" w:hAnsi="" w:cs="" w:eastAsia=""/>
          <w:b w:val="false"/>
          <w:i w:val="false"/>
          <w:strike w:val="false"/>
          <w:color w:val=""/>
        </w:rPr>
        <w:t>Cultural</w:t>
      </w:r>
      <w:r>
        <w:rPr>
          <w:rFonts w:ascii="" w:hAnsi="" w:cs="" w:eastAsia=""/>
          <w:b w:val="false"/>
          <w:i w:val="false"/>
          <w:strike w:val="false"/>
          <w:color w:val=""/>
        </w:rPr>
        <w:t>, Archaeological and Historical Resources</w:t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Human activity tCopyright and DisclaimerThe State of South Carolina owns the copyright to the Code of Laws of South Carolina, 1976, as contahroughout LURC's jurisdiction has resulted, over time, in a variety of cultural resources.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These resources possess educational, scientific and social values that help us understand our heritage and contribute to our sense of the state, and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its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North Woods, as a unique place.  Cultural resources include Indian canoe routes, prehistoric archaeological sites, historic archaeological sites, and historical structures, di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stricts, trails and landmarks.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Archaeological resources, both prehistoric and historic, provide us with evidence of human life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2019-01-24T02:19:13Z</dcterms:created>
  <dc:creator>Apache POI</dc:creator>
</cp:coreProperties>
</file>