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Address"/>
        <w:jc w:val="left"/>
      </w:pPr>
      <w:r>
        <w:rPr>
          <w:rFonts w:ascii="Arial Narrow" w:hAnsi="Arial Narrow" w:cs="Arial Narrow" w:eastAsia="Arial Narrow"/>
          <w:b w:val="false"/>
          <w:i w:val="false"/>
          <w:strike w:val="false"/>
          <w:color w:val=""/>
        </w:rPr>
        <w:t>Note: This draft evolved from planning staff research and Commission meetings held between 2005 and 2007.  It is intended to serve as a vehicle for discussion at Public Workshops – to stimulate conversation and dialogue about issues of importance in the jurisdiction.  This draft will be revised following public comment and discussion associated with Public Workshops to produce a final draft fCopyright and DisclaimerThe State of South Carolina owns the copyright to the Code of Laws of South Carolina, 1976, as contained herein.  Any use of the text, section headings, or catchlines of the 1976 Code is subject to the terms of federal copyright and other applicable laws and such text, section headings, or catchlines may not be reproduced in whole or in part in any form or for inclusion in any material which is offered for sale or lease without the express written peor the formal Public Hearing process.</w:t>
      </w:r>
    </w:p>
    <w:p>
      <w:pPr>
        <w:pStyle w:val="Heading1SectionHeading"/>
        <w:jc w:val="left"/>
      </w:pPr>
      <w:r>
        <w:rPr>
          <w:rFonts w:ascii="" w:hAnsi="" w:cs="" w:eastAsia=""/>
          <w:b w:val="false"/>
          <w:i w:val="false"/>
          <w:strike w:val="false"/>
          <w:color w:val=""/>
        </w:rPr>
        <w:t xml:space="preserve">5.4  </w:t>
      </w:r>
      <w:r>
        <w:rPr>
          <w:rFonts w:ascii="" w:hAnsi="" w:cs="" w:eastAsia=""/>
          <w:b w:val="false"/>
          <w:i w:val="false"/>
          <w:strike w:val="false"/>
          <w:color w:val=""/>
        </w:rPr>
        <w:t>Cultural</w:t>
      </w:r>
      <w:r>
        <w:rPr>
          <w:rFonts w:ascii="" w:hAnsi="" w:cs="" w:eastAsia=""/>
          <w:b w:val="false"/>
          <w:i w:val="false"/>
          <w:strike w:val="false"/>
          <w:color w:val=""/>
        </w:rPr>
        <w:t>, Archaeological and Historical Resources</w:t>
      </w:r>
    </w:p>
    <w:p>
      <w:pPr>
        <w:pStyle w:val="BodyText2"/>
        <w:jc w:val="both"/>
      </w:pP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333333"/>
          <w:sz w:val="16"/>
        </w:rPr>
        <w:t xml:space="preserve"> </w:t>
      </w:r>
      <w:r>
        <w:rPr>
          <w:rFonts w:ascii="" w:hAnsi="" w:cs="" w:eastAsia=""/>
          <w:b w:val="false"/>
          <w:i w:val="false"/>
          <w:strike w:val="false"/>
          <w:color w:val="333333"/>
          <w:sz w:val="16"/>
        </w:rPr>
        <w:t xml:space="preserve"> </w:t>
      </w:r>
      <w:r>
        <w:rPr>
          <w:rFonts w:ascii="" w:hAnsi="" w:cs="" w:eastAsia=""/>
          <w:b w:val="false"/>
          <w:i w:val="false"/>
          <w:strike w:val="false"/>
          <w:color w:val="333333"/>
          <w:sz w:val="16"/>
        </w:rPr>
        <w:t xml:space="preserve"> </w:t>
      </w:r>
      <w:r>
        <w:rPr>
          <w:rFonts w:ascii="" w:hAnsi="" w:cs="" w:eastAsia=""/>
          <w:b w:val="false"/>
          <w:i w:val="false"/>
          <w:strike w:val="false"/>
          <w:color w:val="333333"/>
          <w:sz w:val="16"/>
        </w:rPr>
        <w:t xml:space="preserve"> </w:t>
      </w:r>
      <w:r>
        <w:rPr>
          <w:rFonts w:ascii="" w:hAnsi="" w:cs="" w:eastAsia=""/>
          <w:b w:val="false"/>
          <w:i w:val="false"/>
          <w:strike w:val="false"/>
          <w:color w:val="333333"/>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5F5F5F"/>
          <w:sz w:val="16"/>
        </w:rPr>
        <w:t xml:space="preserve"> </w:t>
      </w:r>
      <w:r>
        <w:rPr>
          <w:rFonts w:ascii="" w:hAnsi="" w:cs="" w:eastAsia=""/>
          <w:b w:val="false"/>
          <w:i w:val="false"/>
          <w:strike w:val="false"/>
          <w:color w:val="5F5F5F"/>
          <w:sz w:val="16"/>
        </w:rPr>
        <w:t xml:space="preserve"> </w:t>
      </w:r>
      <w:r>
        <w:rPr>
          <w:rFonts w:ascii="" w:hAnsi="" w:cs="" w:eastAsia=""/>
          <w:b w:val="false"/>
          <w:i w:val="false"/>
          <w:strike w:val="false"/>
          <w:color w:val="5F5F5F"/>
          <w:sz w:val="16"/>
        </w:rPr>
        <w:t xml:space="preserve"> </w:t>
      </w:r>
      <w:r>
        <w:rPr>
          <w:rFonts w:ascii="" w:hAnsi="" w:cs="" w:eastAsia=""/>
          <w:b w:val="false"/>
          <w:i w:val="false"/>
          <w:strike w:val="false"/>
          <w:color w:val="5F5F5F"/>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969696"/>
          <w:sz w:val="16"/>
        </w:rPr>
        <w:t xml:space="preserve"> </w:t>
      </w:r>
      <w:r>
        <w:rPr>
          <w:rFonts w:ascii="" w:hAnsi="" w:cs="" w:eastAsia=""/>
          <w:b w:val="false"/>
          <w:i w:val="false"/>
          <w:strike w:val="false"/>
          <w:color w:val="969696"/>
          <w:sz w:val="16"/>
        </w:rPr>
        <w:t xml:space="preserve"> </w:t>
      </w:r>
      <w:r>
        <w:rPr>
          <w:rFonts w:ascii="" w:hAnsi="" w:cs="" w:eastAsia=""/>
          <w:b w:val="false"/>
          <w:i w:val="false"/>
          <w:strike w:val="false"/>
          <w:color w:val="969696"/>
          <w:sz w:val="16"/>
        </w:rPr>
        <w:t xml:space="preserve"> </w:t>
      </w:r>
      <w:r>
        <w:rPr>
          <w:rFonts w:ascii="" w:hAnsi="" w:cs="" w:eastAsia=""/>
          <w:b w:val="false"/>
          <w:i w:val="false"/>
          <w:strike w:val="false"/>
          <w:color w:val="969696"/>
          <w:sz w:val="16"/>
        </w:rPr>
        <w:t xml:space="preserve"> </w:t>
      </w:r>
      <w:r>
        <w:rPr>
          <w:rFonts w:ascii="" w:hAnsi="" w:cs="" w:eastAsia=""/>
          <w:b w:val="false"/>
          <w:i w:val="false"/>
          <w:strike w:val="false"/>
          <w:color w:val="969696"/>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C0C0C0"/>
          <w:sz w:val="16"/>
        </w:rPr>
        <w:t xml:space="preserve"> </w:t>
      </w:r>
      <w:r>
        <w:rPr>
          <w:rFonts w:ascii="" w:hAnsi="" w:cs="" w:eastAsia=""/>
          <w:b w:val="false"/>
          <w:i w:val="false"/>
          <w:strike w:val="false"/>
          <w:color w:val="C0C0C0"/>
          <w:sz w:val="16"/>
        </w:rPr>
        <w:t xml:space="preserve"> </w:t>
      </w:r>
      <w:r>
        <w:rPr>
          <w:rFonts w:ascii="" w:hAnsi="" w:cs="" w:eastAsia=""/>
          <w:b w:val="false"/>
          <w:i w:val="false"/>
          <w:strike w:val="false"/>
          <w:color w:val="C0C0C0"/>
          <w:sz w:val="16"/>
        </w:rPr>
        <w:t xml:space="preserve"> </w:t>
      </w:r>
      <w:r>
        <w:rPr>
          <w:rFonts w:ascii="" w:hAnsi="" w:cs="" w:eastAsia=""/>
          <w:b w:val="false"/>
          <w:i w:val="false"/>
          <w:strike w:val="false"/>
          <w:color w:val="C0C0C0"/>
          <w:sz w:val="16"/>
        </w:rPr>
        <w:t xml:space="preserve"> </w:t>
      </w:r>
      <w:r>
        <w:rPr>
          <w:rFonts w:ascii="" w:hAnsi="" w:cs="" w:eastAsia=""/>
          <w:b w:val="false"/>
          <w:i w:val="false"/>
          <w:strike w:val="false"/>
          <w:color w:val="C0C0C0"/>
          <w:sz w:val="16"/>
        </w:rPr>
        <w:t xml:space="preserve"> </w:t>
      </w:r>
    </w:p>
    <w:p>
      <w:pPr>
        <w:pStyle w:val=""/>
        <w:jc w:val="both"/>
      </w:pPr>
      <w:r>
        <w:rPr>
          <w:rFonts w:ascii="Arial Narrow" w:hAnsi="Arial Narrow" w:cs="Arial Narrow" w:eastAsia="Arial Narrow"/>
          <w:b w:val="false"/>
          <w:i w:val="false"/>
          <w:strike w:val="false"/>
          <w:color w:val=""/>
        </w:rPr>
        <w:t xml:space="preserve">Human activity throughout LURC's jurisdiction has resulted, over time, in a variety of cultural resources.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These resources possess educational, scientific and social values that help us understand our heritage and contribute to our sense of the state, and </w:t>
      </w:r>
      <w:r>
        <w:rPr>
          <w:rFonts w:ascii="Arial Narrow" w:hAnsi="Arial Narrow" w:cs="Arial Narrow" w:eastAsia="Arial Narrow"/>
          <w:b w:val="false"/>
          <w:i w:val="false"/>
          <w:strike w:val="false"/>
          <w:color w:val=""/>
        </w:rPr>
        <w:t>its</w:t>
      </w:r>
      <w:r>
        <w:rPr>
          <w:rFonts w:ascii="Arial Narrow" w:hAnsi="Arial Narrow" w:cs="Arial Narrow" w:eastAsia="Arial Narrow"/>
          <w:b w:val="false"/>
          <w:i w:val="false"/>
          <w:strike w:val="false"/>
          <w:color w:val=""/>
        </w:rPr>
        <w:t xml:space="preserve"> North Woods, as a unique place.  Cultural resources include Indian canoe routes, prehistoric archaeological sites, historic archaeological sites, and historical structures, di</w:t>
      </w:r>
      <w:r>
        <w:rPr>
          <w:rFonts w:ascii="Arial Narrow" w:hAnsi="Arial Narrow" w:cs="Arial Narrow" w:eastAsia="Arial Narrow"/>
          <w:b w:val="false"/>
          <w:i w:val="false"/>
          <w:strike w:val="false"/>
          <w:color w:val=""/>
        </w:rPr>
        <w:t>stricts, trails and landmarks.</w:t>
      </w:r>
    </w:p>
    <w:p>
      <w:pPr>
        <w:pStyle w:val=""/>
        <w:jc w:val="both"/>
      </w:pPr>
      <w:r>
        <w:rPr>
          <w:rFonts w:ascii="Arial Narrow" w:hAnsi="Arial Narrow" w:cs="Arial Narrow" w:eastAsia="Arial Narrow"/>
          <w:b w:val="false"/>
          <w:i w:val="false"/>
          <w:strike w:val="false"/>
          <w:color w:val=""/>
        </w:rPr>
        <w:t>Archaeological resources, both prehistoric and historic, provide us with evidence of human life</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2019-01-24T02:19:13Z</dcterms:created>
  <dc:creator>Apache POI</dc:creator>
</cp:coreProperties>
</file>