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accordingly.(c) If the Contractor's applicable established price is increased after the contract date, the corresponding contract unit price shall be increased, uponoward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