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12E0FB97" w14:textId="4C0C6822" w:rsidR="007226C5" w:rsidRDefault="007226C5">
      <w:r>
        <w:rPr>
          <w:noProof/>
        </w:rPr>
        <w:drawing>
          <wp:anchor distT="0" distB="0" distL="114300" distR="114300" simplePos="0" relativeHeight="251658240" behindDoc="0" locked="0" layoutInCell="1" allowOverlap="1" wp14:anchorId="2DF11F6A" wp14:editId="76F01355">
            <wp:simplePos x="0" y="0"/>
            <wp:positionH relativeFrom="column">
              <wp:posOffset>-203200</wp:posOffset>
            </wp:positionH>
            <wp:positionV relativeFrom="paragraph">
              <wp:posOffset>0</wp:posOffset>
            </wp:positionV>
            <wp:extent cx="5969000" cy="1466850"/>
            <wp:effectExtent l="0" t="0" r="0" b="0"/>
            <wp:wrapThrough wrapText="bothSides">
              <wp:wrapPolygon edited="0">
                <wp:start x="0" y="0"/>
                <wp:lineTo x="0" y="21319"/>
                <wp:lineTo x="21508" y="21319"/>
                <wp:lineTo x="2150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69000" cy="1466850"/>
                    </a:xfrm>
                    <a:prstGeom prst="rect">
                      <a:avLst/>
                    </a:prstGeom>
                  </pic:spPr>
                </pic:pic>
              </a:graphicData>
            </a:graphic>
            <wp14:sizeRelH relativeFrom="page">
              <wp14:pctWidth>0</wp14:pctWidth>
            </wp14:sizeRelH>
            <wp14:sizeRelV relativeFrom="page">
              <wp14:pctHeight>0</wp14:pctHeight>
            </wp14:sizeRelV>
          </wp:anchor>
        </w:drawing>
      </w:r>
    </w:p>
    <w:p w14:paraId="1289C782" w14:textId="7DEC8455" w:rsidR="007226C5" w:rsidRPr="007D4B52" w:rsidRDefault="007226C5" w:rsidP="007D4B52">
      <w:pPr>
        <w:rPr>
          <w:b/>
          <w:bCs/>
          <w:noProof/>
          <w:sz w:val="28"/>
          <w:szCs w:val="28"/>
        </w:rPr>
      </w:pPr>
      <w:r w:rsidRPr="007226C5">
        <w:rPr>
          <w:b/>
          <w:bCs/>
          <w:noProof/>
          <w:sz w:val="28"/>
          <w:szCs w:val="28"/>
        </w:rPr>
        <w:t>Asset Liability Management Procedures- A Study on Agrani Bank Limited</w:t>
      </w:r>
    </w:p>
    <w:p w14:paraId="4AB77176" w14:textId="77777777" w:rsidR="007226C5" w:rsidRDefault="007226C5" w:rsidP="007226C5">
      <w:pPr>
        <w:rPr>
          <w:noProof/>
        </w:rPr>
      </w:pPr>
    </w:p>
    <w:p w14:paraId="7A888E49" w14:textId="77777777" w:rsidR="007226C5" w:rsidRDefault="007226C5" w:rsidP="00D451C9">
      <w:pPr>
        <w:rPr>
          <w:b/>
          <w:bCs/>
          <w:noProof/>
        </w:rPr>
      </w:pPr>
      <w:r>
        <w:rPr>
          <w:b/>
          <w:bCs/>
          <w:noProof/>
        </w:rPr>
        <w:t>Prepared By</w:t>
      </w:r>
    </w:p>
    <w:p w14:paraId="63C77F3A" w14:textId="7F22B875" w:rsidR="007226C5" w:rsidRDefault="00D451C9" w:rsidP="00D451C9">
      <w:pPr>
        <w:rPr>
          <w:noProof/>
        </w:rPr>
      </w:pPr>
      <w:r>
        <w:rPr>
          <w:noProof/>
        </w:rPr>
        <w:t xml:space="preserve">Name: </w:t>
      </w:r>
      <w:r w:rsidR="007226C5">
        <w:rPr>
          <w:noProof/>
        </w:rPr>
        <w:t>Monika Akter Prema</w:t>
      </w:r>
    </w:p>
    <w:p w14:paraId="3F3A51F5" w14:textId="37253054" w:rsidR="007D4B52" w:rsidRDefault="007D4B52" w:rsidP="00D451C9">
      <w:pPr>
        <w:rPr>
          <w:noProof/>
        </w:rPr>
      </w:pPr>
      <w:r>
        <w:rPr>
          <w:noProof/>
        </w:rPr>
        <w:t>Batc</w:t>
      </w:r>
      <w:r w:rsidR="0052601A">
        <w:rPr>
          <w:noProof/>
        </w:rPr>
        <w:t>h ID: 25</w:t>
      </w:r>
    </w:p>
    <w:p w14:paraId="097C6BF0" w14:textId="228191A9" w:rsidR="007226C5" w:rsidRDefault="0052601A" w:rsidP="00D451C9">
      <w:pPr>
        <w:rPr>
          <w:noProof/>
        </w:rPr>
      </w:pPr>
      <w:r>
        <w:rPr>
          <w:noProof/>
        </w:rPr>
        <w:t>Batch No: 21</w:t>
      </w:r>
    </w:p>
    <w:p w14:paraId="4F98342A" w14:textId="1020FB8E" w:rsidR="007226C5" w:rsidRDefault="007226C5" w:rsidP="00D451C9">
      <w:pPr>
        <w:rPr>
          <w:b/>
          <w:bCs/>
          <w:noProof/>
        </w:rPr>
      </w:pPr>
      <w:r>
        <w:rPr>
          <w:b/>
          <w:bCs/>
          <w:noProof/>
        </w:rPr>
        <w:t xml:space="preserve">Submission Date: </w:t>
      </w:r>
      <w:r w:rsidR="00220501">
        <w:rPr>
          <w:b/>
          <w:bCs/>
          <w:noProof/>
        </w:rPr>
        <w:t>7</w:t>
      </w:r>
      <w:r>
        <w:rPr>
          <w:b/>
          <w:bCs/>
          <w:noProof/>
        </w:rPr>
        <w:t xml:space="preserve">th </w:t>
      </w:r>
      <w:r w:rsidR="005F7E22">
        <w:rPr>
          <w:b/>
          <w:bCs/>
          <w:noProof/>
        </w:rPr>
        <w:t>October</w:t>
      </w:r>
      <w:r>
        <w:rPr>
          <w:b/>
          <w:bCs/>
          <w:noProof/>
        </w:rPr>
        <w:t>, 202</w:t>
      </w:r>
      <w:r w:rsidR="005F7E22">
        <w:rPr>
          <w:b/>
          <w:bCs/>
          <w:noProof/>
        </w:rPr>
        <w:t>4</w:t>
      </w:r>
    </w:p>
    <w:p w14:paraId="20B34A56" w14:textId="12AAD26E" w:rsidR="007226C5" w:rsidRDefault="007226C5"/>
    <w:p w14:paraId="016F4D63" w14:textId="4B330997" w:rsidR="007226C5" w:rsidRDefault="007226C5"/>
    <w:p w14:paraId="53734C17" w14:textId="554C104F" w:rsidR="00AB46BA" w:rsidRDefault="00AB46BA"/>
    <w:p w14:paraId="621A7838" w14:textId="77777777" w:rsidR="00AB46BA" w:rsidRDefault="00AB46BA">
      <w:pPr>
        <w:spacing w:line="259" w:lineRule="auto"/>
        <w:jc w:val="left"/>
      </w:pPr>
      <w:r>
        <w:br w:type="page"/>
      </w:r>
    </w:p>
    <w:bookmarkStart w:id="0" w:name="_Toc136888969" w:displacedByCustomXml="next"/>
    <w:sdt>
      <w:sdtPr>
        <w:rPr>
          <w:rFonts w:ascii="Times New Roman" w:eastAsiaTheme="minorHAnsi" w:hAnsi="Times New Roman" w:cstheme="minorBidi"/>
          <w:color w:val="auto"/>
          <w:sz w:val="24"/>
          <w:szCs w:val="22"/>
        </w:rPr>
        <w:id w:val="1215242415"/>
        <w:docPartObj>
          <w:docPartGallery w:val="Table of Contents"/>
          <w:docPartUnique/>
        </w:docPartObj>
      </w:sdtPr>
      <w:sdtEndPr>
        <w:rPr>
          <w:b/>
          <w:bCs/>
          <w:noProof/>
        </w:rPr>
      </w:sdtEndPr>
      <w:sdtContent>
        <w:p w14:paraId="1D593F59" w14:textId="59E88252" w:rsidR="00D451C9" w:rsidRPr="00D451C9" w:rsidRDefault="00D451C9" w:rsidP="00D451C9">
          <w:pPr>
            <w:pStyle w:val="TOCHeading"/>
            <w:jc w:val="center"/>
            <w:rPr>
              <w:rFonts w:ascii="Times New Roman" w:hAnsi="Times New Roman" w:cs="Times New Roman"/>
              <w:b/>
              <w:bCs/>
              <w:u w:val="single"/>
            </w:rPr>
          </w:pPr>
          <w:r w:rsidRPr="00D451C9">
            <w:rPr>
              <w:rFonts w:ascii="Times New Roman" w:hAnsi="Times New Roman" w:cs="Times New Roman"/>
              <w:b/>
              <w:bCs/>
              <w:sz w:val="36"/>
              <w:szCs w:val="36"/>
              <w:u w:val="single"/>
            </w:rPr>
            <w:t>INDEX</w:t>
          </w:r>
        </w:p>
        <w:p w14:paraId="2722FEFC" w14:textId="0214587C" w:rsidR="008269C8" w:rsidRDefault="00D451C9">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79034743" w:history="1">
            <w:r w:rsidR="008269C8" w:rsidRPr="006C52BF">
              <w:rPr>
                <w:rStyle w:val="Hyperlink"/>
                <w:noProof/>
              </w:rPr>
              <w:t>EXECUTIVE SUMMARY</w:t>
            </w:r>
            <w:r w:rsidR="008269C8">
              <w:rPr>
                <w:noProof/>
                <w:webHidden/>
              </w:rPr>
              <w:tab/>
            </w:r>
            <w:r w:rsidR="008269C8">
              <w:rPr>
                <w:noProof/>
                <w:webHidden/>
              </w:rPr>
              <w:fldChar w:fldCharType="begin"/>
            </w:r>
            <w:r w:rsidR="008269C8">
              <w:rPr>
                <w:noProof/>
                <w:webHidden/>
              </w:rPr>
              <w:instrText xml:space="preserve"> PAGEREF _Toc179034743 \h </w:instrText>
            </w:r>
            <w:r w:rsidR="008269C8">
              <w:rPr>
                <w:noProof/>
                <w:webHidden/>
              </w:rPr>
            </w:r>
            <w:r w:rsidR="008269C8">
              <w:rPr>
                <w:noProof/>
                <w:webHidden/>
              </w:rPr>
              <w:fldChar w:fldCharType="separate"/>
            </w:r>
            <w:r w:rsidR="008269C8">
              <w:rPr>
                <w:noProof/>
                <w:webHidden/>
              </w:rPr>
              <w:t>3</w:t>
            </w:r>
            <w:r w:rsidR="008269C8">
              <w:rPr>
                <w:noProof/>
                <w:webHidden/>
              </w:rPr>
              <w:fldChar w:fldCharType="end"/>
            </w:r>
          </w:hyperlink>
        </w:p>
        <w:p w14:paraId="049CD155" w14:textId="47B70F8C" w:rsidR="008269C8" w:rsidRDefault="00B9206D">
          <w:pPr>
            <w:pStyle w:val="TOC1"/>
            <w:tabs>
              <w:tab w:val="right" w:leader="dot" w:pos="9016"/>
            </w:tabs>
            <w:rPr>
              <w:rFonts w:asciiTheme="minorHAnsi" w:eastAsiaTheme="minorEastAsia" w:hAnsiTheme="minorHAnsi"/>
              <w:noProof/>
              <w:sz w:val="22"/>
            </w:rPr>
          </w:pPr>
          <w:hyperlink w:anchor="_Toc179034744" w:history="1">
            <w:r w:rsidR="008269C8" w:rsidRPr="006C52BF">
              <w:rPr>
                <w:rStyle w:val="Hyperlink"/>
                <w:noProof/>
              </w:rPr>
              <w:t>1.INTRODUCTION</w:t>
            </w:r>
            <w:r w:rsidR="008269C8">
              <w:rPr>
                <w:noProof/>
                <w:webHidden/>
              </w:rPr>
              <w:tab/>
            </w:r>
            <w:r w:rsidR="008269C8">
              <w:rPr>
                <w:noProof/>
                <w:webHidden/>
              </w:rPr>
              <w:fldChar w:fldCharType="begin"/>
            </w:r>
            <w:r w:rsidR="008269C8">
              <w:rPr>
                <w:noProof/>
                <w:webHidden/>
              </w:rPr>
              <w:instrText xml:space="preserve"> PAGEREF _Toc179034744 \h </w:instrText>
            </w:r>
            <w:r w:rsidR="008269C8">
              <w:rPr>
                <w:noProof/>
                <w:webHidden/>
              </w:rPr>
            </w:r>
            <w:r w:rsidR="008269C8">
              <w:rPr>
                <w:noProof/>
                <w:webHidden/>
              </w:rPr>
              <w:fldChar w:fldCharType="separate"/>
            </w:r>
            <w:r w:rsidR="008269C8">
              <w:rPr>
                <w:noProof/>
                <w:webHidden/>
              </w:rPr>
              <w:t>4</w:t>
            </w:r>
            <w:r w:rsidR="008269C8">
              <w:rPr>
                <w:noProof/>
                <w:webHidden/>
              </w:rPr>
              <w:fldChar w:fldCharType="end"/>
            </w:r>
          </w:hyperlink>
        </w:p>
        <w:p w14:paraId="0F175DCF" w14:textId="5C1AA3D4" w:rsidR="008269C8" w:rsidRDefault="00B9206D">
          <w:pPr>
            <w:pStyle w:val="TOC1"/>
            <w:tabs>
              <w:tab w:val="right" w:leader="dot" w:pos="9016"/>
            </w:tabs>
            <w:rPr>
              <w:rFonts w:asciiTheme="minorHAnsi" w:eastAsiaTheme="minorEastAsia" w:hAnsiTheme="minorHAnsi"/>
              <w:noProof/>
              <w:sz w:val="22"/>
            </w:rPr>
          </w:pPr>
          <w:hyperlink w:anchor="_Toc179034745" w:history="1">
            <w:r w:rsidR="008269C8" w:rsidRPr="006C52BF">
              <w:rPr>
                <w:rStyle w:val="Hyperlink"/>
                <w:noProof/>
              </w:rPr>
              <w:t>2.OVERVIEW OF AGRANI BANK LIMITED</w:t>
            </w:r>
            <w:r w:rsidR="008269C8">
              <w:rPr>
                <w:noProof/>
                <w:webHidden/>
              </w:rPr>
              <w:tab/>
            </w:r>
            <w:r w:rsidR="008269C8">
              <w:rPr>
                <w:noProof/>
                <w:webHidden/>
              </w:rPr>
              <w:fldChar w:fldCharType="begin"/>
            </w:r>
            <w:r w:rsidR="008269C8">
              <w:rPr>
                <w:noProof/>
                <w:webHidden/>
              </w:rPr>
              <w:instrText xml:space="preserve"> PAGEREF _Toc179034745 \h </w:instrText>
            </w:r>
            <w:r w:rsidR="008269C8">
              <w:rPr>
                <w:noProof/>
                <w:webHidden/>
              </w:rPr>
            </w:r>
            <w:r w:rsidR="008269C8">
              <w:rPr>
                <w:noProof/>
                <w:webHidden/>
              </w:rPr>
              <w:fldChar w:fldCharType="separate"/>
            </w:r>
            <w:r w:rsidR="008269C8">
              <w:rPr>
                <w:noProof/>
                <w:webHidden/>
              </w:rPr>
              <w:t>5</w:t>
            </w:r>
            <w:r w:rsidR="008269C8">
              <w:rPr>
                <w:noProof/>
                <w:webHidden/>
              </w:rPr>
              <w:fldChar w:fldCharType="end"/>
            </w:r>
          </w:hyperlink>
        </w:p>
        <w:p w14:paraId="0E767CF5" w14:textId="10259610" w:rsidR="008269C8" w:rsidRDefault="00B9206D">
          <w:pPr>
            <w:pStyle w:val="TOC2"/>
            <w:tabs>
              <w:tab w:val="right" w:leader="dot" w:pos="9016"/>
            </w:tabs>
            <w:rPr>
              <w:rFonts w:asciiTheme="minorHAnsi" w:eastAsiaTheme="minorEastAsia" w:hAnsiTheme="minorHAnsi"/>
              <w:noProof/>
              <w:sz w:val="22"/>
            </w:rPr>
          </w:pPr>
          <w:hyperlink w:anchor="_Toc179034746" w:history="1">
            <w:r w:rsidR="008269C8" w:rsidRPr="006C52BF">
              <w:rPr>
                <w:rStyle w:val="Hyperlink"/>
                <w:noProof/>
              </w:rPr>
              <w:t>2.1 Company Profile</w:t>
            </w:r>
            <w:r w:rsidR="008269C8">
              <w:rPr>
                <w:noProof/>
                <w:webHidden/>
              </w:rPr>
              <w:tab/>
            </w:r>
            <w:r w:rsidR="008269C8">
              <w:rPr>
                <w:noProof/>
                <w:webHidden/>
              </w:rPr>
              <w:fldChar w:fldCharType="begin"/>
            </w:r>
            <w:r w:rsidR="008269C8">
              <w:rPr>
                <w:noProof/>
                <w:webHidden/>
              </w:rPr>
              <w:instrText xml:space="preserve"> PAGEREF _Toc179034746 \h </w:instrText>
            </w:r>
            <w:r w:rsidR="008269C8">
              <w:rPr>
                <w:noProof/>
                <w:webHidden/>
              </w:rPr>
            </w:r>
            <w:r w:rsidR="008269C8">
              <w:rPr>
                <w:noProof/>
                <w:webHidden/>
              </w:rPr>
              <w:fldChar w:fldCharType="separate"/>
            </w:r>
            <w:r w:rsidR="008269C8">
              <w:rPr>
                <w:noProof/>
                <w:webHidden/>
              </w:rPr>
              <w:t>5</w:t>
            </w:r>
            <w:r w:rsidR="008269C8">
              <w:rPr>
                <w:noProof/>
                <w:webHidden/>
              </w:rPr>
              <w:fldChar w:fldCharType="end"/>
            </w:r>
          </w:hyperlink>
        </w:p>
        <w:p w14:paraId="72A483AA" w14:textId="195A4AD7" w:rsidR="008269C8" w:rsidRDefault="00B9206D">
          <w:pPr>
            <w:pStyle w:val="TOC2"/>
            <w:tabs>
              <w:tab w:val="right" w:leader="dot" w:pos="9016"/>
            </w:tabs>
            <w:rPr>
              <w:rFonts w:asciiTheme="minorHAnsi" w:eastAsiaTheme="minorEastAsia" w:hAnsiTheme="minorHAnsi"/>
              <w:noProof/>
              <w:sz w:val="22"/>
            </w:rPr>
          </w:pPr>
          <w:hyperlink w:anchor="_Toc179034747" w:history="1">
            <w:r w:rsidR="008269C8" w:rsidRPr="006C52BF">
              <w:rPr>
                <w:rStyle w:val="Hyperlink"/>
                <w:noProof/>
              </w:rPr>
              <w:t>2.2 Mission of Agrani Bank Ltd.</w:t>
            </w:r>
            <w:r w:rsidR="008269C8">
              <w:rPr>
                <w:noProof/>
                <w:webHidden/>
              </w:rPr>
              <w:tab/>
            </w:r>
            <w:r w:rsidR="008269C8">
              <w:rPr>
                <w:noProof/>
                <w:webHidden/>
              </w:rPr>
              <w:fldChar w:fldCharType="begin"/>
            </w:r>
            <w:r w:rsidR="008269C8">
              <w:rPr>
                <w:noProof/>
                <w:webHidden/>
              </w:rPr>
              <w:instrText xml:space="preserve"> PAGEREF _Toc179034747 \h </w:instrText>
            </w:r>
            <w:r w:rsidR="008269C8">
              <w:rPr>
                <w:noProof/>
                <w:webHidden/>
              </w:rPr>
            </w:r>
            <w:r w:rsidR="008269C8">
              <w:rPr>
                <w:noProof/>
                <w:webHidden/>
              </w:rPr>
              <w:fldChar w:fldCharType="separate"/>
            </w:r>
            <w:r w:rsidR="008269C8">
              <w:rPr>
                <w:noProof/>
                <w:webHidden/>
              </w:rPr>
              <w:t>6</w:t>
            </w:r>
            <w:r w:rsidR="008269C8">
              <w:rPr>
                <w:noProof/>
                <w:webHidden/>
              </w:rPr>
              <w:fldChar w:fldCharType="end"/>
            </w:r>
          </w:hyperlink>
        </w:p>
        <w:p w14:paraId="2C5C0798" w14:textId="5E666F99" w:rsidR="008269C8" w:rsidRDefault="00B9206D">
          <w:pPr>
            <w:pStyle w:val="TOC2"/>
            <w:tabs>
              <w:tab w:val="right" w:leader="dot" w:pos="9016"/>
            </w:tabs>
            <w:rPr>
              <w:rFonts w:asciiTheme="minorHAnsi" w:eastAsiaTheme="minorEastAsia" w:hAnsiTheme="minorHAnsi"/>
              <w:noProof/>
              <w:sz w:val="22"/>
            </w:rPr>
          </w:pPr>
          <w:hyperlink w:anchor="_Toc179034748" w:history="1">
            <w:r w:rsidR="008269C8" w:rsidRPr="006C52BF">
              <w:rPr>
                <w:rStyle w:val="Hyperlink"/>
                <w:noProof/>
              </w:rPr>
              <w:t>2.3 Vision of Agrani Bank Ltd.</w:t>
            </w:r>
            <w:r w:rsidR="008269C8">
              <w:rPr>
                <w:noProof/>
                <w:webHidden/>
              </w:rPr>
              <w:tab/>
            </w:r>
            <w:r w:rsidR="008269C8">
              <w:rPr>
                <w:noProof/>
                <w:webHidden/>
              </w:rPr>
              <w:fldChar w:fldCharType="begin"/>
            </w:r>
            <w:r w:rsidR="008269C8">
              <w:rPr>
                <w:noProof/>
                <w:webHidden/>
              </w:rPr>
              <w:instrText xml:space="preserve"> PAGEREF _Toc179034748 \h </w:instrText>
            </w:r>
            <w:r w:rsidR="008269C8">
              <w:rPr>
                <w:noProof/>
                <w:webHidden/>
              </w:rPr>
            </w:r>
            <w:r w:rsidR="008269C8">
              <w:rPr>
                <w:noProof/>
                <w:webHidden/>
              </w:rPr>
              <w:fldChar w:fldCharType="separate"/>
            </w:r>
            <w:r w:rsidR="008269C8">
              <w:rPr>
                <w:noProof/>
                <w:webHidden/>
              </w:rPr>
              <w:t>6</w:t>
            </w:r>
            <w:r w:rsidR="008269C8">
              <w:rPr>
                <w:noProof/>
                <w:webHidden/>
              </w:rPr>
              <w:fldChar w:fldCharType="end"/>
            </w:r>
          </w:hyperlink>
        </w:p>
        <w:p w14:paraId="619C2F5A" w14:textId="5DFA50A2" w:rsidR="008269C8" w:rsidRDefault="00B9206D">
          <w:pPr>
            <w:pStyle w:val="TOC2"/>
            <w:tabs>
              <w:tab w:val="right" w:leader="dot" w:pos="9016"/>
            </w:tabs>
            <w:rPr>
              <w:rFonts w:asciiTheme="minorHAnsi" w:eastAsiaTheme="minorEastAsia" w:hAnsiTheme="minorHAnsi"/>
              <w:noProof/>
              <w:sz w:val="22"/>
            </w:rPr>
          </w:pPr>
          <w:hyperlink w:anchor="_Toc179034749" w:history="1">
            <w:r w:rsidR="008269C8" w:rsidRPr="006C52BF">
              <w:rPr>
                <w:rStyle w:val="Hyperlink"/>
                <w:noProof/>
              </w:rPr>
              <w:t>2.4 Objectives of Agrani Bank Ltd.</w:t>
            </w:r>
            <w:r w:rsidR="008269C8">
              <w:rPr>
                <w:noProof/>
                <w:webHidden/>
              </w:rPr>
              <w:tab/>
            </w:r>
            <w:r w:rsidR="008269C8">
              <w:rPr>
                <w:noProof/>
                <w:webHidden/>
              </w:rPr>
              <w:fldChar w:fldCharType="begin"/>
            </w:r>
            <w:r w:rsidR="008269C8">
              <w:rPr>
                <w:noProof/>
                <w:webHidden/>
              </w:rPr>
              <w:instrText xml:space="preserve"> PAGEREF _Toc179034749 \h </w:instrText>
            </w:r>
            <w:r w:rsidR="008269C8">
              <w:rPr>
                <w:noProof/>
                <w:webHidden/>
              </w:rPr>
            </w:r>
            <w:r w:rsidR="008269C8">
              <w:rPr>
                <w:noProof/>
                <w:webHidden/>
              </w:rPr>
              <w:fldChar w:fldCharType="separate"/>
            </w:r>
            <w:r w:rsidR="008269C8">
              <w:rPr>
                <w:noProof/>
                <w:webHidden/>
              </w:rPr>
              <w:t>7</w:t>
            </w:r>
            <w:r w:rsidR="008269C8">
              <w:rPr>
                <w:noProof/>
                <w:webHidden/>
              </w:rPr>
              <w:fldChar w:fldCharType="end"/>
            </w:r>
          </w:hyperlink>
        </w:p>
        <w:p w14:paraId="3FD1876E" w14:textId="0D3C367F" w:rsidR="008269C8" w:rsidRDefault="00B9206D">
          <w:pPr>
            <w:pStyle w:val="TOC2"/>
            <w:tabs>
              <w:tab w:val="right" w:leader="dot" w:pos="9016"/>
            </w:tabs>
            <w:rPr>
              <w:rFonts w:asciiTheme="minorHAnsi" w:eastAsiaTheme="minorEastAsia" w:hAnsiTheme="minorHAnsi"/>
              <w:noProof/>
              <w:sz w:val="22"/>
            </w:rPr>
          </w:pPr>
          <w:hyperlink w:anchor="_Toc179034750" w:history="1">
            <w:r w:rsidR="008269C8" w:rsidRPr="006C52BF">
              <w:rPr>
                <w:rStyle w:val="Hyperlink"/>
                <w:noProof/>
              </w:rPr>
              <w:t>2.5 Management Structure of Agrani Bank Ltd.</w:t>
            </w:r>
            <w:r w:rsidR="008269C8">
              <w:rPr>
                <w:noProof/>
                <w:webHidden/>
              </w:rPr>
              <w:tab/>
            </w:r>
            <w:r w:rsidR="008269C8">
              <w:rPr>
                <w:noProof/>
                <w:webHidden/>
              </w:rPr>
              <w:fldChar w:fldCharType="begin"/>
            </w:r>
            <w:r w:rsidR="008269C8">
              <w:rPr>
                <w:noProof/>
                <w:webHidden/>
              </w:rPr>
              <w:instrText xml:space="preserve"> PAGEREF _Toc179034750 \h </w:instrText>
            </w:r>
            <w:r w:rsidR="008269C8">
              <w:rPr>
                <w:noProof/>
                <w:webHidden/>
              </w:rPr>
            </w:r>
            <w:r w:rsidR="008269C8">
              <w:rPr>
                <w:noProof/>
                <w:webHidden/>
              </w:rPr>
              <w:fldChar w:fldCharType="separate"/>
            </w:r>
            <w:r w:rsidR="008269C8">
              <w:rPr>
                <w:noProof/>
                <w:webHidden/>
              </w:rPr>
              <w:t>8</w:t>
            </w:r>
            <w:r w:rsidR="008269C8">
              <w:rPr>
                <w:noProof/>
                <w:webHidden/>
              </w:rPr>
              <w:fldChar w:fldCharType="end"/>
            </w:r>
          </w:hyperlink>
        </w:p>
        <w:p w14:paraId="64456AD7" w14:textId="6DF6392E" w:rsidR="008269C8" w:rsidRDefault="00B9206D">
          <w:pPr>
            <w:pStyle w:val="TOC2"/>
            <w:tabs>
              <w:tab w:val="right" w:leader="dot" w:pos="9016"/>
            </w:tabs>
            <w:rPr>
              <w:rFonts w:asciiTheme="minorHAnsi" w:eastAsiaTheme="minorEastAsia" w:hAnsiTheme="minorHAnsi"/>
              <w:noProof/>
              <w:sz w:val="22"/>
            </w:rPr>
          </w:pPr>
          <w:hyperlink w:anchor="_Toc179034751" w:history="1">
            <w:r w:rsidR="008269C8" w:rsidRPr="006C52BF">
              <w:rPr>
                <w:rStyle w:val="Hyperlink"/>
                <w:noProof/>
              </w:rPr>
              <w:t>2.6 Agrani Bank Ltd. Products and Services</w:t>
            </w:r>
            <w:r w:rsidR="008269C8">
              <w:rPr>
                <w:noProof/>
                <w:webHidden/>
              </w:rPr>
              <w:tab/>
            </w:r>
            <w:r w:rsidR="008269C8">
              <w:rPr>
                <w:noProof/>
                <w:webHidden/>
              </w:rPr>
              <w:fldChar w:fldCharType="begin"/>
            </w:r>
            <w:r w:rsidR="008269C8">
              <w:rPr>
                <w:noProof/>
                <w:webHidden/>
              </w:rPr>
              <w:instrText xml:space="preserve"> PAGEREF _Toc179034751 \h </w:instrText>
            </w:r>
            <w:r w:rsidR="008269C8">
              <w:rPr>
                <w:noProof/>
                <w:webHidden/>
              </w:rPr>
            </w:r>
            <w:r w:rsidR="008269C8">
              <w:rPr>
                <w:noProof/>
                <w:webHidden/>
              </w:rPr>
              <w:fldChar w:fldCharType="separate"/>
            </w:r>
            <w:r w:rsidR="008269C8">
              <w:rPr>
                <w:noProof/>
                <w:webHidden/>
              </w:rPr>
              <w:t>9</w:t>
            </w:r>
            <w:r w:rsidR="008269C8">
              <w:rPr>
                <w:noProof/>
                <w:webHidden/>
              </w:rPr>
              <w:fldChar w:fldCharType="end"/>
            </w:r>
          </w:hyperlink>
        </w:p>
        <w:p w14:paraId="562098D0" w14:textId="3CDF5195" w:rsidR="008269C8" w:rsidRDefault="00B9206D">
          <w:pPr>
            <w:pStyle w:val="TOC1"/>
            <w:tabs>
              <w:tab w:val="right" w:leader="dot" w:pos="9016"/>
            </w:tabs>
            <w:rPr>
              <w:rFonts w:asciiTheme="minorHAnsi" w:eastAsiaTheme="minorEastAsia" w:hAnsiTheme="minorHAnsi"/>
              <w:noProof/>
              <w:sz w:val="22"/>
            </w:rPr>
          </w:pPr>
          <w:hyperlink w:anchor="_Toc179034752" w:history="1">
            <w:r w:rsidR="008269C8" w:rsidRPr="006C52BF">
              <w:rPr>
                <w:rStyle w:val="Hyperlink"/>
                <w:noProof/>
              </w:rPr>
              <w:t>3.PRODUCT CATEGORIES</w:t>
            </w:r>
            <w:r w:rsidR="008269C8">
              <w:rPr>
                <w:noProof/>
                <w:webHidden/>
              </w:rPr>
              <w:tab/>
            </w:r>
            <w:r w:rsidR="008269C8">
              <w:rPr>
                <w:noProof/>
                <w:webHidden/>
              </w:rPr>
              <w:fldChar w:fldCharType="begin"/>
            </w:r>
            <w:r w:rsidR="008269C8">
              <w:rPr>
                <w:noProof/>
                <w:webHidden/>
              </w:rPr>
              <w:instrText xml:space="preserve"> PAGEREF _Toc179034752 \h </w:instrText>
            </w:r>
            <w:r w:rsidR="008269C8">
              <w:rPr>
                <w:noProof/>
                <w:webHidden/>
              </w:rPr>
            </w:r>
            <w:r w:rsidR="008269C8">
              <w:rPr>
                <w:noProof/>
                <w:webHidden/>
              </w:rPr>
              <w:fldChar w:fldCharType="separate"/>
            </w:r>
            <w:r w:rsidR="008269C8">
              <w:rPr>
                <w:noProof/>
                <w:webHidden/>
              </w:rPr>
              <w:t>11</w:t>
            </w:r>
            <w:r w:rsidR="008269C8">
              <w:rPr>
                <w:noProof/>
                <w:webHidden/>
              </w:rPr>
              <w:fldChar w:fldCharType="end"/>
            </w:r>
          </w:hyperlink>
        </w:p>
        <w:p w14:paraId="3B93542E" w14:textId="33B16A50" w:rsidR="008269C8" w:rsidRDefault="00B9206D">
          <w:pPr>
            <w:pStyle w:val="TOC2"/>
            <w:tabs>
              <w:tab w:val="right" w:leader="dot" w:pos="9016"/>
            </w:tabs>
            <w:rPr>
              <w:rFonts w:asciiTheme="minorHAnsi" w:eastAsiaTheme="minorEastAsia" w:hAnsiTheme="minorHAnsi"/>
              <w:noProof/>
              <w:sz w:val="22"/>
            </w:rPr>
          </w:pPr>
          <w:hyperlink w:anchor="_Toc179034753" w:history="1">
            <w:r w:rsidR="008269C8" w:rsidRPr="006C52BF">
              <w:rPr>
                <w:rStyle w:val="Hyperlink"/>
                <w:noProof/>
              </w:rPr>
              <w:t>3.1 Present ALM Status in ABL</w:t>
            </w:r>
            <w:r w:rsidR="008269C8">
              <w:rPr>
                <w:noProof/>
                <w:webHidden/>
              </w:rPr>
              <w:tab/>
            </w:r>
            <w:r w:rsidR="008269C8">
              <w:rPr>
                <w:noProof/>
                <w:webHidden/>
              </w:rPr>
              <w:fldChar w:fldCharType="begin"/>
            </w:r>
            <w:r w:rsidR="008269C8">
              <w:rPr>
                <w:noProof/>
                <w:webHidden/>
              </w:rPr>
              <w:instrText xml:space="preserve"> PAGEREF _Toc179034753 \h </w:instrText>
            </w:r>
            <w:r w:rsidR="008269C8">
              <w:rPr>
                <w:noProof/>
                <w:webHidden/>
              </w:rPr>
            </w:r>
            <w:r w:rsidR="008269C8">
              <w:rPr>
                <w:noProof/>
                <w:webHidden/>
              </w:rPr>
              <w:fldChar w:fldCharType="separate"/>
            </w:r>
            <w:r w:rsidR="008269C8">
              <w:rPr>
                <w:noProof/>
                <w:webHidden/>
              </w:rPr>
              <w:t>12</w:t>
            </w:r>
            <w:r w:rsidR="008269C8">
              <w:rPr>
                <w:noProof/>
                <w:webHidden/>
              </w:rPr>
              <w:fldChar w:fldCharType="end"/>
            </w:r>
          </w:hyperlink>
        </w:p>
        <w:p w14:paraId="1E1142C7" w14:textId="2A1F1470" w:rsidR="008269C8" w:rsidRDefault="00B9206D">
          <w:pPr>
            <w:pStyle w:val="TOC1"/>
            <w:tabs>
              <w:tab w:val="right" w:leader="dot" w:pos="9016"/>
            </w:tabs>
            <w:rPr>
              <w:rFonts w:asciiTheme="minorHAnsi" w:eastAsiaTheme="minorEastAsia" w:hAnsiTheme="minorHAnsi"/>
              <w:noProof/>
              <w:sz w:val="22"/>
            </w:rPr>
          </w:pPr>
          <w:hyperlink w:anchor="_Toc179034754" w:history="1">
            <w:r w:rsidR="008269C8" w:rsidRPr="006C52BF">
              <w:rPr>
                <w:rStyle w:val="Hyperlink"/>
                <w:noProof/>
              </w:rPr>
              <w:t>CONCLUSION</w:t>
            </w:r>
            <w:r w:rsidR="008269C8">
              <w:rPr>
                <w:noProof/>
                <w:webHidden/>
              </w:rPr>
              <w:tab/>
            </w:r>
            <w:r w:rsidR="008269C8">
              <w:rPr>
                <w:noProof/>
                <w:webHidden/>
              </w:rPr>
              <w:fldChar w:fldCharType="begin"/>
            </w:r>
            <w:r w:rsidR="008269C8">
              <w:rPr>
                <w:noProof/>
                <w:webHidden/>
              </w:rPr>
              <w:instrText xml:space="preserve"> PAGEREF _Toc179034754 \h </w:instrText>
            </w:r>
            <w:r w:rsidR="008269C8">
              <w:rPr>
                <w:noProof/>
                <w:webHidden/>
              </w:rPr>
            </w:r>
            <w:r w:rsidR="008269C8">
              <w:rPr>
                <w:noProof/>
                <w:webHidden/>
              </w:rPr>
              <w:fldChar w:fldCharType="separate"/>
            </w:r>
            <w:r w:rsidR="008269C8">
              <w:rPr>
                <w:noProof/>
                <w:webHidden/>
              </w:rPr>
              <w:t>14</w:t>
            </w:r>
            <w:r w:rsidR="008269C8">
              <w:rPr>
                <w:noProof/>
                <w:webHidden/>
              </w:rPr>
              <w:fldChar w:fldCharType="end"/>
            </w:r>
          </w:hyperlink>
        </w:p>
        <w:p w14:paraId="03E005D6" w14:textId="173B8C82" w:rsidR="00D451C9" w:rsidRDefault="00D451C9">
          <w:r>
            <w:rPr>
              <w:b/>
              <w:bCs/>
              <w:noProof/>
            </w:rPr>
            <w:fldChar w:fldCharType="end"/>
          </w:r>
        </w:p>
      </w:sdtContent>
    </w:sdt>
    <w:p w14:paraId="3AD462B4" w14:textId="20983192" w:rsidR="00D451C9" w:rsidRDefault="00D451C9">
      <w:pPr>
        <w:spacing w:line="259" w:lineRule="auto"/>
        <w:jc w:val="left"/>
        <w:rPr>
          <w:rFonts w:eastAsiaTheme="majorEastAsia" w:cstheme="majorBidi"/>
          <w:b/>
          <w:color w:val="2F5496" w:themeColor="accent1" w:themeShade="BF"/>
          <w:sz w:val="32"/>
          <w:szCs w:val="32"/>
        </w:rPr>
      </w:pPr>
    </w:p>
    <w:p w14:paraId="78B2F9A5" w14:textId="77777777" w:rsidR="00D451C9" w:rsidRDefault="00D451C9">
      <w:pPr>
        <w:spacing w:line="259" w:lineRule="auto"/>
        <w:jc w:val="left"/>
        <w:rPr>
          <w:rFonts w:eastAsiaTheme="majorEastAsia" w:cstheme="majorBidi"/>
          <w:b/>
          <w:color w:val="2F5496" w:themeColor="accent1" w:themeShade="BF"/>
          <w:sz w:val="32"/>
          <w:szCs w:val="32"/>
        </w:rPr>
      </w:pPr>
      <w:r>
        <w:br w:type="page"/>
      </w:r>
    </w:p>
    <w:p w14:paraId="2C82EE29" w14:textId="7D089C27" w:rsidR="00AB46BA" w:rsidRPr="00D451C9" w:rsidRDefault="00B729BB" w:rsidP="00D451C9">
      <w:pPr>
        <w:pStyle w:val="Heading1"/>
        <w:jc w:val="center"/>
      </w:pPr>
      <w:bookmarkStart w:id="1" w:name="_Toc179034743"/>
      <w:r>
        <w:lastRenderedPageBreak/>
        <w:t>EXECUTIVE</w:t>
      </w:r>
      <w:r w:rsidR="00AB46BA" w:rsidRPr="00D451C9">
        <w:t xml:space="preserve"> S</w:t>
      </w:r>
      <w:bookmarkEnd w:id="0"/>
      <w:r>
        <w:t>UMMARY</w:t>
      </w:r>
      <w:bookmarkEnd w:id="1"/>
    </w:p>
    <w:p w14:paraId="70C4C7C9" w14:textId="3C30F39A" w:rsidR="00AB46BA" w:rsidRPr="00D451C9" w:rsidRDefault="00AB46BA" w:rsidP="00D451C9">
      <w:r>
        <w:t xml:space="preserve">Banking is one of the sectors in Bangladesh that is growing swiftly and is thought to be a key component of the economy. Therefore, monitoring capital adequacy, liquidity statement, and continual evaluations of the sector is vital to ensure the financial stability of the economy as the banking industry is becoming more complex than it was due to the COVID-19 Pandemic crisis. The goal of the project is to </w:t>
      </w:r>
      <w:r w:rsidR="00D451C9">
        <w:t>analyze</w:t>
      </w:r>
      <w:r>
        <w:t xml:space="preserve"> the asset liability management procedures of Agrani Bank Limited. </w:t>
      </w:r>
      <w:r>
        <w:rPr>
          <w:rFonts w:cs="Times New Roman"/>
          <w:color w:val="222222"/>
          <w:szCs w:val="24"/>
        </w:rPr>
        <w:t>Banks' primary concern is Asset Liability Management (ALM), which aims to minimize Agra</w:t>
      </w:r>
      <w:r w:rsidR="00D451C9">
        <w:rPr>
          <w:rFonts w:cs="Times New Roman"/>
          <w:color w:val="222222"/>
          <w:szCs w:val="24"/>
        </w:rPr>
        <w:t>n</w:t>
      </w:r>
      <w:r>
        <w:rPr>
          <w:rFonts w:cs="Times New Roman"/>
          <w:color w:val="222222"/>
          <w:szCs w:val="24"/>
        </w:rPr>
        <w:t>i Bank's risk and maximize revenue. This study focuses on the method used by Agrani Bank Limited and the various risk management practices used by banks to manage their assets (use of money) and liabilities (source of funds). Liquidation risk management and market risk management (including interest rate risk) are the two core processes of ALM. We have assessed some of the prior performances, and ratio analysis and graphics are used to highlight the patterns in the bank position. The ALM committee of ABL (Agrani Bank Limited) manages the bank's asset and liability strategies and offers excellent risk management. Then we received the Alm plan, certain issues, and the potential for ABL, and we offered some suggestions or directives to enhance the bank's Alm procedure. This report will contribute to the development of an understanding of the ALM process in the Bangladeshi banking industry because the ALM chief or the bank's balance sheet is the major component of the balance sheet.</w:t>
      </w:r>
    </w:p>
    <w:p w14:paraId="48316367" w14:textId="77777777" w:rsidR="00AB46BA" w:rsidRDefault="00AB46BA" w:rsidP="00AB46BA">
      <w:pPr>
        <w:spacing w:after="0"/>
        <w:rPr>
          <w:rFonts w:eastAsia="Times New Roman" w:cs="Times New Roman"/>
          <w:szCs w:val="24"/>
        </w:rPr>
      </w:pPr>
    </w:p>
    <w:p w14:paraId="51A8D6FA" w14:textId="14B3033B" w:rsidR="009F660F" w:rsidRDefault="00AB46BA" w:rsidP="00AB46BA">
      <w:pPr>
        <w:rPr>
          <w:rFonts w:eastAsia="Times New Roman" w:cs="Times New Roman"/>
          <w:color w:val="222222"/>
          <w:szCs w:val="24"/>
        </w:rPr>
      </w:pPr>
      <w:r>
        <w:rPr>
          <w:rFonts w:eastAsia="Times New Roman" w:cs="Times New Roman"/>
          <w:b/>
          <w:bCs/>
          <w:color w:val="222222"/>
          <w:szCs w:val="24"/>
        </w:rPr>
        <w:t>Keywords:</w:t>
      </w:r>
      <w:r>
        <w:rPr>
          <w:rFonts w:eastAsia="Times New Roman" w:cs="Times New Roman"/>
          <w:color w:val="222222"/>
          <w:szCs w:val="24"/>
        </w:rPr>
        <w:t xml:space="preserve"> Agrani Bank, Asset and Liability, Assets Liability Management, ALCO, Analysis.</w:t>
      </w:r>
    </w:p>
    <w:p w14:paraId="328FBA69" w14:textId="4EEF2F07" w:rsidR="00803A30" w:rsidRDefault="00803A30">
      <w:pPr>
        <w:spacing w:line="259" w:lineRule="auto"/>
        <w:jc w:val="left"/>
        <w:rPr>
          <w:rFonts w:eastAsia="Times New Roman" w:cs="Times New Roman"/>
          <w:color w:val="222222"/>
          <w:szCs w:val="24"/>
        </w:rPr>
      </w:pPr>
      <w:r>
        <w:rPr>
          <w:rFonts w:eastAsia="Times New Roman" w:cs="Times New Roman"/>
          <w:color w:val="222222"/>
          <w:szCs w:val="24"/>
        </w:rPr>
        <w:br w:type="page"/>
      </w:r>
    </w:p>
    <w:p w14:paraId="611C55E0" w14:textId="7B0CCEF0" w:rsidR="007C7954" w:rsidRDefault="007C7954" w:rsidP="00483396">
      <w:pPr>
        <w:pStyle w:val="Heading1"/>
      </w:pPr>
      <w:bookmarkStart w:id="2" w:name="_Toc136888971"/>
      <w:bookmarkStart w:id="3" w:name="_Toc179034744"/>
      <w:r>
        <w:lastRenderedPageBreak/>
        <w:t>1.INTRODUCTION</w:t>
      </w:r>
      <w:bookmarkEnd w:id="2"/>
      <w:bookmarkEnd w:id="3"/>
    </w:p>
    <w:p w14:paraId="17174A92" w14:textId="77777777" w:rsidR="007C7954" w:rsidRDefault="007C7954" w:rsidP="007C7954">
      <w:pPr>
        <w:rPr>
          <w:rFonts w:cs="Times New Roman"/>
        </w:rPr>
      </w:pPr>
      <w:r>
        <w:rPr>
          <w:rFonts w:cs="Times New Roman"/>
          <w:szCs w:val="24"/>
        </w:rPr>
        <w:t>The report is prepared on the topic of Asset and Liability Management of Agrani Bank Limited. The asset and liability management policy of Agrani Bank Limited is made following the guidelines and rules of the central bank of Bangladesh (Bangladesh Bank) to run the banking process readily.</w:t>
      </w:r>
      <w:r>
        <w:t xml:space="preserve"> ALM is a thorough and progressive framework for counting, observing, and guiding a bank's market risk. It is the regulation of the structure of the balance sheet in a certain way so that the net interest income is maximized within the overall risk appetite (current and future) of the institutions.</w:t>
      </w:r>
      <w:r>
        <w:rPr>
          <w:rFonts w:cs="Times New Roman"/>
        </w:rPr>
        <w:t xml:space="preserve"> (Gardner and Mills, 1991).</w:t>
      </w:r>
    </w:p>
    <w:p w14:paraId="73946E7F" w14:textId="6B6DDE89" w:rsidR="007C7954" w:rsidRDefault="007C7954" w:rsidP="00F51A4E">
      <w:pPr>
        <w:rPr>
          <w:rFonts w:cs="Times New Roman"/>
          <w:color w:val="222222"/>
          <w:shd w:val="clear" w:color="auto" w:fill="FFFFFF"/>
        </w:rPr>
      </w:pPr>
      <w:r>
        <w:rPr>
          <w:rFonts w:cs="Times New Roman"/>
        </w:rPr>
        <w:t xml:space="preserve">In the case of a bank, asset and liability management refers to managing the risks related to the assets and liabilities of the bank and trying to minimize them.  Insurance companies do the same. </w:t>
      </w:r>
      <w:r w:rsidR="00F51A4E" w:rsidRPr="00F51A4E">
        <w:rPr>
          <w:rFonts w:cs="Times New Roman"/>
        </w:rPr>
        <w:t>While doing this management, the bank faces many types of risk such as liquidity risk, interest risk, and operational risk (Haslem et al, 1999). Asset liability management refers to strategic management or control of interest rate risk and liquidity risk that banks and other financial institutions face. The main objective of ALM is to improve the qualitative and quantitative value of assets and liveliness that is associated with asset and liability risk and manage it in such a way that it can sustain short time profit, generate long-term earnings and can stay in the market for a long time (Dash, 2010).</w:t>
      </w:r>
    </w:p>
    <w:p w14:paraId="205FE577" w14:textId="77777777" w:rsidR="007C7954" w:rsidRDefault="007C7954" w:rsidP="007C7954">
      <w:r>
        <w:t xml:space="preserve">Modern risk management is a holistic approach in which different types of corporate risks such as interest rate risk, credit risk, market risk, and liquidity risk are managed. They are managed and these are related to each other (Ranjan and </w:t>
      </w:r>
      <w:proofErr w:type="spellStart"/>
      <w:r>
        <w:t>Nallari</w:t>
      </w:r>
      <w:proofErr w:type="spellEnd"/>
      <w:r>
        <w:t xml:space="preserve">, 2004). Also, ALM is a complex system to calculate, monitor and control the market risk of a bank (Vaidyanathan, 1999). India's deregulation of interest rates has exposed the banking sector to market risks. (Vaidya and Shahi, 2001). </w:t>
      </w:r>
      <w:r>
        <w:rPr>
          <w:rFonts w:cs="Times New Roman"/>
          <w:szCs w:val="24"/>
        </w:rPr>
        <w:t>Asset and liability are the most critical department for Agrani Bank Limited than income and expense. Both play a vital role in the banking sector as they evaluate the liquidity ratio and the leverage ratio to take some important decisions like giving loans to customers, liquidity maintenance, deposit collection procedures, and different rating systems.</w:t>
      </w:r>
    </w:p>
    <w:p w14:paraId="19F2CC4B" w14:textId="77777777" w:rsidR="007C7954" w:rsidRDefault="007C7954" w:rsidP="007C7954">
      <w:r>
        <w:rPr>
          <w:rFonts w:cs="Times New Roman"/>
          <w:szCs w:val="24"/>
        </w:rPr>
        <w:t>In this project, I have discussed the pieces of literature statement on asset and liability management procedures as well as different kinds of operations related to the assets and liabilities of Agrani Bank Limited.</w:t>
      </w:r>
    </w:p>
    <w:p w14:paraId="1294065B" w14:textId="77777777" w:rsidR="007C7954" w:rsidRDefault="007C7954" w:rsidP="007C7954">
      <w:pPr>
        <w:rPr>
          <w:rFonts w:cs="Times New Roman"/>
          <w:szCs w:val="24"/>
        </w:rPr>
      </w:pPr>
    </w:p>
    <w:p w14:paraId="48EBF410" w14:textId="67B04E2B" w:rsidR="00811E95" w:rsidRDefault="00811E95">
      <w:pPr>
        <w:spacing w:line="259" w:lineRule="auto"/>
        <w:jc w:val="left"/>
      </w:pPr>
      <w:r>
        <w:br w:type="page"/>
      </w:r>
    </w:p>
    <w:p w14:paraId="567EAF30" w14:textId="7BBF2A27" w:rsidR="003B2C0C" w:rsidRDefault="003B2C0C" w:rsidP="003B2C0C">
      <w:pPr>
        <w:pStyle w:val="Heading1"/>
        <w:jc w:val="center"/>
      </w:pPr>
      <w:bookmarkStart w:id="4" w:name="_Toc179034745"/>
      <w:bookmarkStart w:id="5" w:name="_Toc136888979"/>
      <w:r>
        <w:lastRenderedPageBreak/>
        <w:t>2.O</w:t>
      </w:r>
      <w:r w:rsidR="003A0594">
        <w:t>VERVIEW OF</w:t>
      </w:r>
      <w:r>
        <w:t xml:space="preserve"> </w:t>
      </w:r>
      <w:r w:rsidR="003A0594">
        <w:t>AGRANI BANK LIMITED</w:t>
      </w:r>
      <w:bookmarkEnd w:id="4"/>
    </w:p>
    <w:p w14:paraId="4B4FF84A" w14:textId="77777777" w:rsidR="003B2C0C" w:rsidRPr="003B2C0C" w:rsidRDefault="003B2C0C" w:rsidP="003B2C0C">
      <w:pPr>
        <w:pStyle w:val="Heading2"/>
      </w:pPr>
    </w:p>
    <w:p w14:paraId="439F709E" w14:textId="3CAE8FAB" w:rsidR="00811E95" w:rsidRPr="003B2C0C" w:rsidRDefault="00811E95" w:rsidP="003B2C0C">
      <w:pPr>
        <w:pStyle w:val="Heading2"/>
      </w:pPr>
      <w:bookmarkStart w:id="6" w:name="_Toc179034746"/>
      <w:r w:rsidRPr="003B2C0C">
        <w:t>2.1 C</w:t>
      </w:r>
      <w:bookmarkEnd w:id="5"/>
      <w:r w:rsidR="003A0594">
        <w:t>ompany Profile</w:t>
      </w:r>
      <w:bookmarkEnd w:id="6"/>
    </w:p>
    <w:tbl>
      <w:tblPr>
        <w:tblStyle w:val="TableGrid"/>
        <w:tblW w:w="0" w:type="auto"/>
        <w:tblLook w:val="04A0" w:firstRow="1" w:lastRow="0" w:firstColumn="1" w:lastColumn="0" w:noHBand="0" w:noVBand="1"/>
      </w:tblPr>
      <w:tblGrid>
        <w:gridCol w:w="4508"/>
        <w:gridCol w:w="4508"/>
      </w:tblGrid>
      <w:tr w:rsidR="00811E95" w14:paraId="7DE93711" w14:textId="77777777" w:rsidTr="00733115">
        <w:tc>
          <w:tcPr>
            <w:tcW w:w="4508" w:type="dxa"/>
          </w:tcPr>
          <w:p w14:paraId="56B03F41" w14:textId="77777777" w:rsidR="00811E95" w:rsidRDefault="00811E95" w:rsidP="00733115">
            <w:pPr>
              <w:rPr>
                <w:rFonts w:cs="Times New Roman"/>
                <w:szCs w:val="24"/>
              </w:rPr>
            </w:pPr>
            <w:r>
              <w:rPr>
                <w:rFonts w:cs="Times New Roman"/>
                <w:szCs w:val="24"/>
              </w:rPr>
              <w:t>Name of the company:</w:t>
            </w:r>
          </w:p>
        </w:tc>
        <w:tc>
          <w:tcPr>
            <w:tcW w:w="4508" w:type="dxa"/>
          </w:tcPr>
          <w:p w14:paraId="427782FF" w14:textId="77777777" w:rsidR="00811E95" w:rsidRDefault="00811E95" w:rsidP="00733115">
            <w:pPr>
              <w:rPr>
                <w:rFonts w:cs="Times New Roman"/>
                <w:szCs w:val="24"/>
              </w:rPr>
            </w:pPr>
            <w:r>
              <w:rPr>
                <w:rFonts w:cs="Times New Roman"/>
                <w:szCs w:val="24"/>
              </w:rPr>
              <w:t>Agrani Bank Limited</w:t>
            </w:r>
          </w:p>
        </w:tc>
      </w:tr>
      <w:tr w:rsidR="00811E95" w14:paraId="5246BB69" w14:textId="77777777" w:rsidTr="00733115">
        <w:tc>
          <w:tcPr>
            <w:tcW w:w="4508" w:type="dxa"/>
          </w:tcPr>
          <w:p w14:paraId="76F27D7C" w14:textId="77777777" w:rsidR="00811E95" w:rsidRDefault="00811E95" w:rsidP="00733115">
            <w:pPr>
              <w:rPr>
                <w:rFonts w:cs="Times New Roman"/>
                <w:szCs w:val="24"/>
              </w:rPr>
            </w:pPr>
            <w:r>
              <w:rPr>
                <w:rFonts w:cs="Times New Roman"/>
                <w:szCs w:val="24"/>
              </w:rPr>
              <w:t>Chairman:</w:t>
            </w:r>
          </w:p>
        </w:tc>
        <w:tc>
          <w:tcPr>
            <w:tcW w:w="4508" w:type="dxa"/>
          </w:tcPr>
          <w:p w14:paraId="4FC4F70E" w14:textId="77777777" w:rsidR="00811E95" w:rsidRDefault="00811E95" w:rsidP="00733115">
            <w:pPr>
              <w:rPr>
                <w:rFonts w:cs="Times New Roman"/>
                <w:szCs w:val="24"/>
              </w:rPr>
            </w:pPr>
            <w:r>
              <w:rPr>
                <w:rFonts w:cs="Times New Roman"/>
                <w:szCs w:val="24"/>
              </w:rPr>
              <w:t>Dr. Zaid Bakht</w:t>
            </w:r>
          </w:p>
        </w:tc>
      </w:tr>
      <w:tr w:rsidR="00811E95" w14:paraId="716F2DCD" w14:textId="77777777" w:rsidTr="00733115">
        <w:tc>
          <w:tcPr>
            <w:tcW w:w="4508" w:type="dxa"/>
          </w:tcPr>
          <w:p w14:paraId="7E90977D" w14:textId="77777777" w:rsidR="00811E95" w:rsidRDefault="00811E95" w:rsidP="00733115">
            <w:pPr>
              <w:rPr>
                <w:rFonts w:cs="Times New Roman"/>
                <w:szCs w:val="24"/>
              </w:rPr>
            </w:pPr>
            <w:r>
              <w:rPr>
                <w:rFonts w:cs="Times New Roman"/>
                <w:szCs w:val="24"/>
              </w:rPr>
              <w:t>Managing Director &amp; CEO:</w:t>
            </w:r>
          </w:p>
        </w:tc>
        <w:tc>
          <w:tcPr>
            <w:tcW w:w="4508" w:type="dxa"/>
          </w:tcPr>
          <w:p w14:paraId="0C108947" w14:textId="77777777" w:rsidR="00811E95" w:rsidRDefault="00811E95" w:rsidP="00733115">
            <w:pPr>
              <w:rPr>
                <w:rFonts w:cs="Times New Roman"/>
                <w:szCs w:val="24"/>
              </w:rPr>
            </w:pPr>
            <w:r>
              <w:rPr>
                <w:rFonts w:cs="Times New Roman"/>
                <w:szCs w:val="24"/>
              </w:rPr>
              <w:t xml:space="preserve">Md. </w:t>
            </w:r>
            <w:proofErr w:type="spellStart"/>
            <w:r>
              <w:rPr>
                <w:rFonts w:cs="Times New Roman"/>
                <w:szCs w:val="24"/>
              </w:rPr>
              <w:t>Murshedul</w:t>
            </w:r>
            <w:proofErr w:type="spellEnd"/>
            <w:r>
              <w:rPr>
                <w:rFonts w:cs="Times New Roman"/>
                <w:szCs w:val="24"/>
              </w:rPr>
              <w:t xml:space="preserve"> Kabir</w:t>
            </w:r>
          </w:p>
        </w:tc>
      </w:tr>
      <w:tr w:rsidR="00811E95" w14:paraId="680F0065" w14:textId="77777777" w:rsidTr="00733115">
        <w:tc>
          <w:tcPr>
            <w:tcW w:w="4508" w:type="dxa"/>
          </w:tcPr>
          <w:p w14:paraId="513CF67A" w14:textId="77777777" w:rsidR="00811E95" w:rsidRDefault="00811E95" w:rsidP="00733115">
            <w:pPr>
              <w:rPr>
                <w:rFonts w:cs="Times New Roman"/>
                <w:szCs w:val="24"/>
              </w:rPr>
            </w:pPr>
            <w:r>
              <w:rPr>
                <w:rFonts w:cs="Times New Roman"/>
                <w:szCs w:val="24"/>
              </w:rPr>
              <w:t>Legal Status:</w:t>
            </w:r>
          </w:p>
        </w:tc>
        <w:tc>
          <w:tcPr>
            <w:tcW w:w="4508" w:type="dxa"/>
          </w:tcPr>
          <w:p w14:paraId="2AC87A77" w14:textId="77777777" w:rsidR="00811E95" w:rsidRDefault="00811E95" w:rsidP="00733115">
            <w:pPr>
              <w:rPr>
                <w:rFonts w:cs="Times New Roman"/>
                <w:szCs w:val="24"/>
              </w:rPr>
            </w:pPr>
            <w:r>
              <w:rPr>
                <w:rFonts w:cs="Times New Roman"/>
                <w:szCs w:val="24"/>
              </w:rPr>
              <w:t>Public Limited Company</w:t>
            </w:r>
          </w:p>
        </w:tc>
      </w:tr>
      <w:tr w:rsidR="00811E95" w14:paraId="33757F21" w14:textId="77777777" w:rsidTr="00733115">
        <w:tc>
          <w:tcPr>
            <w:tcW w:w="4508" w:type="dxa"/>
          </w:tcPr>
          <w:p w14:paraId="228F0261" w14:textId="77777777" w:rsidR="00811E95" w:rsidRDefault="00811E95" w:rsidP="00733115">
            <w:pPr>
              <w:rPr>
                <w:rFonts w:cs="Times New Roman"/>
                <w:szCs w:val="24"/>
              </w:rPr>
            </w:pPr>
            <w:r>
              <w:rPr>
                <w:rFonts w:cs="Times New Roman"/>
                <w:szCs w:val="24"/>
              </w:rPr>
              <w:t>Date of Incorporation:</w:t>
            </w:r>
            <w:r>
              <w:rPr>
                <w:rFonts w:cs="Times New Roman"/>
                <w:szCs w:val="24"/>
              </w:rPr>
              <w:tab/>
            </w:r>
          </w:p>
        </w:tc>
        <w:tc>
          <w:tcPr>
            <w:tcW w:w="4508" w:type="dxa"/>
          </w:tcPr>
          <w:p w14:paraId="635AF4FD" w14:textId="77777777" w:rsidR="00811E95" w:rsidRDefault="00811E95" w:rsidP="00733115">
            <w:pPr>
              <w:rPr>
                <w:rFonts w:cs="Times New Roman"/>
                <w:szCs w:val="24"/>
              </w:rPr>
            </w:pPr>
            <w:r>
              <w:rPr>
                <w:rFonts w:cs="Times New Roman"/>
                <w:szCs w:val="24"/>
              </w:rPr>
              <w:t>26 March 1972</w:t>
            </w:r>
          </w:p>
        </w:tc>
      </w:tr>
      <w:tr w:rsidR="00811E95" w14:paraId="18C8019E" w14:textId="77777777" w:rsidTr="00733115">
        <w:tc>
          <w:tcPr>
            <w:tcW w:w="4508" w:type="dxa"/>
          </w:tcPr>
          <w:p w14:paraId="3D9ADA13" w14:textId="77777777" w:rsidR="00811E95" w:rsidRDefault="00811E95" w:rsidP="00733115">
            <w:pPr>
              <w:rPr>
                <w:rFonts w:cs="Times New Roman"/>
                <w:szCs w:val="24"/>
              </w:rPr>
            </w:pPr>
            <w:r>
              <w:rPr>
                <w:rFonts w:cs="Times New Roman"/>
                <w:szCs w:val="24"/>
              </w:rPr>
              <w:t>Authorized Capital:</w:t>
            </w:r>
          </w:p>
        </w:tc>
        <w:tc>
          <w:tcPr>
            <w:tcW w:w="4508" w:type="dxa"/>
          </w:tcPr>
          <w:p w14:paraId="78ACD082" w14:textId="77777777" w:rsidR="00811E95" w:rsidRDefault="00811E95" w:rsidP="00733115">
            <w:pPr>
              <w:rPr>
                <w:rFonts w:cs="Times New Roman"/>
                <w:szCs w:val="24"/>
              </w:rPr>
            </w:pPr>
            <w:r>
              <w:rPr>
                <w:rFonts w:cs="Times New Roman"/>
                <w:szCs w:val="24"/>
              </w:rPr>
              <w:t>Tk. 2,500.00 Crore (2021)</w:t>
            </w:r>
          </w:p>
        </w:tc>
      </w:tr>
      <w:tr w:rsidR="00811E95" w14:paraId="7EA05A2F" w14:textId="77777777" w:rsidTr="00733115">
        <w:tc>
          <w:tcPr>
            <w:tcW w:w="4508" w:type="dxa"/>
          </w:tcPr>
          <w:p w14:paraId="4BF2BD93" w14:textId="77777777" w:rsidR="00811E95" w:rsidRDefault="00811E95" w:rsidP="00733115">
            <w:pPr>
              <w:rPr>
                <w:rFonts w:cs="Times New Roman"/>
                <w:szCs w:val="24"/>
              </w:rPr>
            </w:pPr>
            <w:r>
              <w:rPr>
                <w:rFonts w:cs="Times New Roman"/>
                <w:szCs w:val="24"/>
              </w:rPr>
              <w:t>Paid-up Capital:</w:t>
            </w:r>
          </w:p>
        </w:tc>
        <w:tc>
          <w:tcPr>
            <w:tcW w:w="4508" w:type="dxa"/>
          </w:tcPr>
          <w:p w14:paraId="3A5F8C91" w14:textId="77777777" w:rsidR="00811E95" w:rsidRDefault="00811E95" w:rsidP="00733115">
            <w:pPr>
              <w:rPr>
                <w:rFonts w:cs="Times New Roman"/>
                <w:szCs w:val="24"/>
              </w:rPr>
            </w:pPr>
            <w:r>
              <w:rPr>
                <w:rFonts w:cs="Times New Roman"/>
                <w:szCs w:val="24"/>
              </w:rPr>
              <w:t>Tk. 2,072 Crore (2021)</w:t>
            </w:r>
          </w:p>
        </w:tc>
      </w:tr>
      <w:tr w:rsidR="00811E95" w14:paraId="3D2D31C1" w14:textId="77777777" w:rsidTr="00733115">
        <w:tc>
          <w:tcPr>
            <w:tcW w:w="4508" w:type="dxa"/>
          </w:tcPr>
          <w:p w14:paraId="68B0B029" w14:textId="77777777" w:rsidR="00811E95" w:rsidRDefault="00811E95" w:rsidP="00733115">
            <w:pPr>
              <w:rPr>
                <w:rFonts w:cs="Times New Roman"/>
                <w:szCs w:val="24"/>
              </w:rPr>
            </w:pPr>
            <w:r>
              <w:rPr>
                <w:rFonts w:cs="Times New Roman"/>
                <w:szCs w:val="24"/>
              </w:rPr>
              <w:t>Head Office:</w:t>
            </w:r>
          </w:p>
        </w:tc>
        <w:tc>
          <w:tcPr>
            <w:tcW w:w="4508" w:type="dxa"/>
          </w:tcPr>
          <w:p w14:paraId="5D631518" w14:textId="77777777" w:rsidR="00811E95" w:rsidRDefault="00811E95" w:rsidP="00733115">
            <w:pPr>
              <w:rPr>
                <w:rFonts w:cs="Times New Roman"/>
                <w:szCs w:val="24"/>
              </w:rPr>
            </w:pPr>
            <w:r>
              <w:rPr>
                <w:rFonts w:cs="Times New Roman"/>
                <w:szCs w:val="24"/>
              </w:rPr>
              <w:t xml:space="preserve">9/D </w:t>
            </w:r>
            <w:proofErr w:type="spellStart"/>
            <w:r>
              <w:rPr>
                <w:rFonts w:cs="Times New Roman"/>
                <w:szCs w:val="24"/>
              </w:rPr>
              <w:t>Dilkusha</w:t>
            </w:r>
            <w:proofErr w:type="spellEnd"/>
            <w:r>
              <w:rPr>
                <w:rFonts w:cs="Times New Roman"/>
                <w:szCs w:val="24"/>
              </w:rPr>
              <w:t>, Dhaka 1000, Bangladesh</w:t>
            </w:r>
          </w:p>
        </w:tc>
      </w:tr>
      <w:tr w:rsidR="00811E95" w14:paraId="4355971C" w14:textId="77777777" w:rsidTr="00733115">
        <w:tc>
          <w:tcPr>
            <w:tcW w:w="4508" w:type="dxa"/>
          </w:tcPr>
          <w:p w14:paraId="09DA9282" w14:textId="77777777" w:rsidR="00811E95" w:rsidRDefault="00811E95" w:rsidP="00733115">
            <w:pPr>
              <w:rPr>
                <w:rFonts w:cs="Times New Roman"/>
                <w:szCs w:val="24"/>
              </w:rPr>
            </w:pPr>
            <w:r>
              <w:rPr>
                <w:rFonts w:cs="Times New Roman"/>
                <w:szCs w:val="24"/>
              </w:rPr>
              <w:t>Branch:</w:t>
            </w:r>
          </w:p>
        </w:tc>
        <w:tc>
          <w:tcPr>
            <w:tcW w:w="4508" w:type="dxa"/>
          </w:tcPr>
          <w:p w14:paraId="21332D17" w14:textId="77777777" w:rsidR="00811E95" w:rsidRDefault="00811E95" w:rsidP="00733115">
            <w:pPr>
              <w:rPr>
                <w:rFonts w:cs="Times New Roman"/>
                <w:szCs w:val="24"/>
              </w:rPr>
            </w:pPr>
            <w:r>
              <w:rPr>
                <w:rFonts w:cs="Times New Roman"/>
                <w:szCs w:val="24"/>
              </w:rPr>
              <w:t>971</w:t>
            </w:r>
          </w:p>
        </w:tc>
      </w:tr>
      <w:tr w:rsidR="00811E95" w14:paraId="24139F75" w14:textId="77777777" w:rsidTr="00733115">
        <w:tc>
          <w:tcPr>
            <w:tcW w:w="4508" w:type="dxa"/>
          </w:tcPr>
          <w:p w14:paraId="4592D926" w14:textId="77777777" w:rsidR="00811E95" w:rsidRDefault="00811E95" w:rsidP="00733115">
            <w:pPr>
              <w:rPr>
                <w:rFonts w:cs="Times New Roman"/>
                <w:szCs w:val="24"/>
              </w:rPr>
            </w:pPr>
            <w:r>
              <w:rPr>
                <w:rFonts w:cs="Times New Roman"/>
                <w:szCs w:val="24"/>
              </w:rPr>
              <w:t>Agent Banking Booth:</w:t>
            </w:r>
          </w:p>
        </w:tc>
        <w:tc>
          <w:tcPr>
            <w:tcW w:w="4508" w:type="dxa"/>
          </w:tcPr>
          <w:p w14:paraId="2DA167B0" w14:textId="77777777" w:rsidR="00811E95" w:rsidRDefault="00811E95" w:rsidP="00733115">
            <w:pPr>
              <w:rPr>
                <w:rFonts w:cs="Times New Roman"/>
                <w:szCs w:val="24"/>
              </w:rPr>
            </w:pPr>
            <w:r>
              <w:rPr>
                <w:rFonts w:cs="Times New Roman"/>
                <w:szCs w:val="24"/>
              </w:rPr>
              <w:t>400</w:t>
            </w:r>
          </w:p>
        </w:tc>
      </w:tr>
      <w:tr w:rsidR="00811E95" w14:paraId="1D25AD18" w14:textId="77777777" w:rsidTr="00733115">
        <w:tc>
          <w:tcPr>
            <w:tcW w:w="4508" w:type="dxa"/>
          </w:tcPr>
          <w:p w14:paraId="1FD92126" w14:textId="77777777" w:rsidR="00811E95" w:rsidRDefault="00811E95" w:rsidP="00733115">
            <w:pPr>
              <w:rPr>
                <w:rFonts w:cs="Times New Roman"/>
                <w:szCs w:val="24"/>
              </w:rPr>
            </w:pPr>
            <w:r>
              <w:rPr>
                <w:rFonts w:cs="Times New Roman"/>
                <w:szCs w:val="24"/>
              </w:rPr>
              <w:t>Circle office:</w:t>
            </w:r>
          </w:p>
        </w:tc>
        <w:tc>
          <w:tcPr>
            <w:tcW w:w="4508" w:type="dxa"/>
          </w:tcPr>
          <w:p w14:paraId="67D979E1" w14:textId="77777777" w:rsidR="00811E95" w:rsidRDefault="00811E95" w:rsidP="00733115">
            <w:pPr>
              <w:rPr>
                <w:rFonts w:cs="Times New Roman"/>
                <w:szCs w:val="24"/>
              </w:rPr>
            </w:pPr>
            <w:r>
              <w:rPr>
                <w:rFonts w:cs="Times New Roman"/>
                <w:szCs w:val="24"/>
              </w:rPr>
              <w:t>11</w:t>
            </w:r>
          </w:p>
        </w:tc>
      </w:tr>
      <w:tr w:rsidR="00811E95" w14:paraId="344184B7" w14:textId="77777777" w:rsidTr="00733115">
        <w:tc>
          <w:tcPr>
            <w:tcW w:w="4508" w:type="dxa"/>
          </w:tcPr>
          <w:p w14:paraId="496E2AF7" w14:textId="77777777" w:rsidR="00811E95" w:rsidRDefault="00811E95" w:rsidP="00733115">
            <w:pPr>
              <w:rPr>
                <w:rFonts w:cs="Times New Roman"/>
                <w:szCs w:val="24"/>
              </w:rPr>
            </w:pPr>
            <w:r>
              <w:rPr>
                <w:rFonts w:cs="Times New Roman"/>
                <w:szCs w:val="24"/>
              </w:rPr>
              <w:t>Zonal Office:</w:t>
            </w:r>
          </w:p>
        </w:tc>
        <w:tc>
          <w:tcPr>
            <w:tcW w:w="4508" w:type="dxa"/>
          </w:tcPr>
          <w:p w14:paraId="227316E1" w14:textId="77777777" w:rsidR="00811E95" w:rsidRDefault="00811E95" w:rsidP="00733115">
            <w:pPr>
              <w:rPr>
                <w:rFonts w:cs="Times New Roman"/>
                <w:szCs w:val="24"/>
              </w:rPr>
            </w:pPr>
            <w:r>
              <w:rPr>
                <w:rFonts w:cs="Times New Roman"/>
                <w:szCs w:val="24"/>
              </w:rPr>
              <w:t>53</w:t>
            </w:r>
          </w:p>
        </w:tc>
      </w:tr>
      <w:tr w:rsidR="00811E95" w14:paraId="7C633C16" w14:textId="77777777" w:rsidTr="00733115">
        <w:tc>
          <w:tcPr>
            <w:tcW w:w="4508" w:type="dxa"/>
          </w:tcPr>
          <w:p w14:paraId="508D2530" w14:textId="77777777" w:rsidR="00811E95" w:rsidRDefault="00811E95" w:rsidP="00733115">
            <w:pPr>
              <w:rPr>
                <w:rFonts w:cs="Times New Roman"/>
                <w:szCs w:val="24"/>
              </w:rPr>
            </w:pPr>
            <w:r>
              <w:rPr>
                <w:rFonts w:cs="Times New Roman"/>
                <w:szCs w:val="24"/>
              </w:rPr>
              <w:t>Islami Banking window:</w:t>
            </w:r>
          </w:p>
        </w:tc>
        <w:tc>
          <w:tcPr>
            <w:tcW w:w="4508" w:type="dxa"/>
          </w:tcPr>
          <w:p w14:paraId="51D891EE" w14:textId="77777777" w:rsidR="00811E95" w:rsidRDefault="00811E95" w:rsidP="00733115">
            <w:pPr>
              <w:rPr>
                <w:rFonts w:cs="Times New Roman"/>
                <w:szCs w:val="24"/>
              </w:rPr>
            </w:pPr>
            <w:r>
              <w:rPr>
                <w:rFonts w:cs="Times New Roman"/>
                <w:szCs w:val="24"/>
              </w:rPr>
              <w:t>60</w:t>
            </w:r>
          </w:p>
        </w:tc>
      </w:tr>
      <w:tr w:rsidR="00811E95" w14:paraId="5C0B370B" w14:textId="77777777" w:rsidTr="00733115">
        <w:tc>
          <w:tcPr>
            <w:tcW w:w="4508" w:type="dxa"/>
          </w:tcPr>
          <w:p w14:paraId="06051607" w14:textId="77777777" w:rsidR="00811E95" w:rsidRDefault="00811E95" w:rsidP="00733115">
            <w:pPr>
              <w:rPr>
                <w:rFonts w:cs="Times New Roman"/>
                <w:szCs w:val="24"/>
              </w:rPr>
            </w:pPr>
            <w:r>
              <w:rPr>
                <w:rFonts w:cs="Times New Roman"/>
                <w:szCs w:val="24"/>
              </w:rPr>
              <w:t>Tax Identification No:</w:t>
            </w:r>
          </w:p>
        </w:tc>
        <w:tc>
          <w:tcPr>
            <w:tcW w:w="4508" w:type="dxa"/>
          </w:tcPr>
          <w:p w14:paraId="0C2AABBD" w14:textId="77777777" w:rsidR="00811E95" w:rsidRDefault="00811E95" w:rsidP="00733115">
            <w:pPr>
              <w:rPr>
                <w:rFonts w:cs="Times New Roman"/>
                <w:szCs w:val="24"/>
              </w:rPr>
            </w:pPr>
            <w:r>
              <w:rPr>
                <w:rFonts w:cs="Times New Roman"/>
                <w:szCs w:val="24"/>
              </w:rPr>
              <w:t>0022001223</w:t>
            </w:r>
          </w:p>
        </w:tc>
      </w:tr>
      <w:tr w:rsidR="00811E95" w14:paraId="2B802DBF" w14:textId="77777777" w:rsidTr="00733115">
        <w:tc>
          <w:tcPr>
            <w:tcW w:w="4508" w:type="dxa"/>
          </w:tcPr>
          <w:p w14:paraId="354B827B" w14:textId="77777777" w:rsidR="00811E95" w:rsidRDefault="00811E95" w:rsidP="00733115">
            <w:pPr>
              <w:rPr>
                <w:rFonts w:cs="Times New Roman"/>
                <w:szCs w:val="24"/>
              </w:rPr>
            </w:pPr>
            <w:r>
              <w:rPr>
                <w:rFonts w:cs="Times New Roman"/>
                <w:szCs w:val="24"/>
              </w:rPr>
              <w:t>Phone:</w:t>
            </w:r>
            <w:r>
              <w:rPr>
                <w:rFonts w:cs="Times New Roman"/>
                <w:szCs w:val="24"/>
              </w:rPr>
              <w:tab/>
            </w:r>
          </w:p>
        </w:tc>
        <w:tc>
          <w:tcPr>
            <w:tcW w:w="4508" w:type="dxa"/>
          </w:tcPr>
          <w:p w14:paraId="2CD96839" w14:textId="77777777" w:rsidR="00811E95" w:rsidRDefault="00811E95" w:rsidP="00733115">
            <w:pPr>
              <w:rPr>
                <w:rFonts w:cs="Times New Roman"/>
                <w:szCs w:val="24"/>
              </w:rPr>
            </w:pPr>
            <w:r>
              <w:rPr>
                <w:rFonts w:cs="Times New Roman"/>
                <w:szCs w:val="24"/>
              </w:rPr>
              <w:t>+88-02-9566153-4, +88-02-9566160-9</w:t>
            </w:r>
          </w:p>
        </w:tc>
      </w:tr>
      <w:tr w:rsidR="00811E95" w14:paraId="4EA47DA7" w14:textId="77777777" w:rsidTr="00733115">
        <w:tc>
          <w:tcPr>
            <w:tcW w:w="4508" w:type="dxa"/>
          </w:tcPr>
          <w:p w14:paraId="6F67C676" w14:textId="77777777" w:rsidR="00811E95" w:rsidRDefault="00811E95" w:rsidP="00733115">
            <w:pPr>
              <w:rPr>
                <w:rFonts w:cs="Times New Roman"/>
                <w:szCs w:val="24"/>
              </w:rPr>
            </w:pPr>
            <w:r>
              <w:rPr>
                <w:rFonts w:cs="Times New Roman"/>
                <w:szCs w:val="24"/>
              </w:rPr>
              <w:t>E-mail:</w:t>
            </w:r>
            <w:r>
              <w:rPr>
                <w:rFonts w:cs="Times New Roman"/>
                <w:szCs w:val="24"/>
              </w:rPr>
              <w:tab/>
            </w:r>
          </w:p>
        </w:tc>
        <w:tc>
          <w:tcPr>
            <w:tcW w:w="4508" w:type="dxa"/>
          </w:tcPr>
          <w:p w14:paraId="7B35810B" w14:textId="77777777" w:rsidR="00811E95" w:rsidRDefault="00811E95" w:rsidP="00733115">
            <w:pPr>
              <w:rPr>
                <w:rFonts w:cs="Times New Roman"/>
                <w:szCs w:val="24"/>
              </w:rPr>
            </w:pPr>
            <w:r>
              <w:rPr>
                <w:rFonts w:cs="Times New Roman"/>
                <w:szCs w:val="24"/>
              </w:rPr>
              <w:t>agrani@agranibank.org, info@agranibank.org</w:t>
            </w:r>
          </w:p>
        </w:tc>
      </w:tr>
      <w:tr w:rsidR="00811E95" w14:paraId="6723DE7B" w14:textId="77777777" w:rsidTr="00733115">
        <w:tc>
          <w:tcPr>
            <w:tcW w:w="4508" w:type="dxa"/>
          </w:tcPr>
          <w:p w14:paraId="177556D9" w14:textId="77777777" w:rsidR="00811E95" w:rsidRDefault="00811E95" w:rsidP="00733115">
            <w:pPr>
              <w:rPr>
                <w:rFonts w:cs="Times New Roman"/>
                <w:szCs w:val="24"/>
              </w:rPr>
            </w:pPr>
            <w:r>
              <w:rPr>
                <w:rFonts w:cs="Times New Roman"/>
                <w:szCs w:val="24"/>
              </w:rPr>
              <w:t>Website:</w:t>
            </w:r>
          </w:p>
        </w:tc>
        <w:tc>
          <w:tcPr>
            <w:tcW w:w="4508" w:type="dxa"/>
          </w:tcPr>
          <w:p w14:paraId="0B917AE2" w14:textId="77777777" w:rsidR="00811E95" w:rsidRDefault="00811E95" w:rsidP="00733115">
            <w:pPr>
              <w:rPr>
                <w:rFonts w:cs="Times New Roman"/>
                <w:szCs w:val="24"/>
              </w:rPr>
            </w:pPr>
            <w:r>
              <w:rPr>
                <w:rFonts w:cs="Times New Roman"/>
                <w:szCs w:val="24"/>
              </w:rPr>
              <w:t>www.agranibank.org</w:t>
            </w:r>
          </w:p>
        </w:tc>
      </w:tr>
    </w:tbl>
    <w:p w14:paraId="661AFF3B" w14:textId="47B9B7D6" w:rsidR="00811E95" w:rsidRDefault="00007858" w:rsidP="00811E95">
      <w:pPr>
        <w:jc w:val="center"/>
        <w:rPr>
          <w:rFonts w:cs="Times New Roman"/>
          <w:szCs w:val="24"/>
        </w:rPr>
      </w:pPr>
      <w:r>
        <w:rPr>
          <w:noProof/>
        </w:rPr>
        <mc:AlternateContent>
          <mc:Choice Requires="wps">
            <w:drawing>
              <wp:anchor distT="0" distB="0" distL="114300" distR="114300" simplePos="0" relativeHeight="251661312" behindDoc="0" locked="0" layoutInCell="1" allowOverlap="1" wp14:anchorId="0101334A" wp14:editId="3ACE798A">
                <wp:simplePos x="0" y="0"/>
                <wp:positionH relativeFrom="margin">
                  <wp:align>center</wp:align>
                </wp:positionH>
                <wp:positionV relativeFrom="paragraph">
                  <wp:posOffset>270510</wp:posOffset>
                </wp:positionV>
                <wp:extent cx="1828800" cy="1828800"/>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9B8A96" w14:textId="29FF66ED" w:rsidR="006D0E09" w:rsidRDefault="00007858" w:rsidP="006D0E09">
                            <w:pPr>
                              <w:jc w:val="center"/>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D0E09" w:rsidRPr="006D0E09">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Source-Agrani Bank website: </w:t>
                            </w:r>
                            <w:hyperlink r:id="rId9" w:history="1">
                              <w:r w:rsidR="006D0E09" w:rsidRPr="00007858">
                                <w:rPr>
                                  <w:rStyle w:val="Hyperlink"/>
                                  <w:rFonts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https://www.agranibank.org/</w:t>
                              </w:r>
                            </w:hyperlink>
                            <w:r w:rsidR="006D0E09" w:rsidRPr="006D0E09">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19B925" w14:textId="4E12BEC1" w:rsidR="00007858" w:rsidRPr="006D0E09" w:rsidRDefault="00007858" w:rsidP="006D0E09">
                            <w:pPr>
                              <w:jc w:val="center"/>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858">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2.1: Company Profile of Agrani Bank Limited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101334A" id="_x0000_t202" coordsize="21600,21600" o:spt="202" path="m,l,21600r21600,l21600,xe">
                <v:stroke joinstyle="miter"/>
                <v:path gradientshapeok="t" o:connecttype="rect"/>
              </v:shapetype>
              <v:shape id="Text Box 6" o:spid="_x0000_s1026" type="#_x0000_t202" style="position:absolute;left:0;text-align:left;margin-left:0;margin-top:21.3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" filled="f" stroked="f">
                <v:textbox style="mso-fit-shape-to-text:t">
                  <w:txbxContent>
                    <w:p w14:paraId="199B8A96" w14:textId="29FF66ED" w:rsidR="006D0E09" w:rsidRDefault="00007858" w:rsidP="006D0E09">
                      <w:pPr>
                        <w:jc w:val="center"/>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D0E09" w:rsidRPr="006D0E09">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Source-Agrani Bank website: </w:t>
                      </w:r>
                      <w:hyperlink r:id="rId10" w:history="1">
                        <w:r w:rsidR="006D0E09" w:rsidRPr="00007858">
                          <w:rPr>
                            <w:rStyle w:val="Hyperlink"/>
                            <w:rFonts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https://www.agranibank.org/</w:t>
                        </w:r>
                      </w:hyperlink>
                      <w:r w:rsidR="006D0E09" w:rsidRPr="006D0E09">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19B925" w14:textId="4E12BEC1" w:rsidR="00007858" w:rsidRPr="006D0E09" w:rsidRDefault="00007858" w:rsidP="006D0E09">
                      <w:pPr>
                        <w:jc w:val="center"/>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858">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2.1: Company Profile of Agrani Bank Limited</w:t>
                      </w:r>
                    </w:p>
                  </w:txbxContent>
                </v:textbox>
                <w10:wrap anchorx="margin"/>
              </v:shape>
            </w:pict>
          </mc:Fallback>
        </mc:AlternateContent>
      </w:r>
    </w:p>
    <w:p w14:paraId="2ECCA528" w14:textId="008349FA" w:rsidR="00BB6363" w:rsidRDefault="00BB6363">
      <w:pPr>
        <w:spacing w:line="259" w:lineRule="auto"/>
        <w:jc w:val="left"/>
      </w:pPr>
      <w:r>
        <w:br w:type="page"/>
      </w:r>
    </w:p>
    <w:p w14:paraId="1BA66A6A" w14:textId="5865269D" w:rsidR="002B56C6" w:rsidRPr="002B56C6" w:rsidRDefault="00BB6363" w:rsidP="002B56C6">
      <w:pPr>
        <w:pStyle w:val="Heading2"/>
      </w:pPr>
      <w:bookmarkStart w:id="7" w:name="_Toc136888981"/>
      <w:bookmarkStart w:id="8" w:name="_Toc179034747"/>
      <w:r w:rsidRPr="003B2C0C">
        <w:lastRenderedPageBreak/>
        <w:t>2.</w:t>
      </w:r>
      <w:r w:rsidR="003B2C0C">
        <w:t>2</w:t>
      </w:r>
      <w:r w:rsidRPr="003B2C0C">
        <w:t xml:space="preserve"> </w:t>
      </w:r>
      <w:bookmarkEnd w:id="7"/>
      <w:r w:rsidR="002B56C6">
        <w:t>Mission of Agrani Bank Ltd.</w:t>
      </w:r>
      <w:bookmarkEnd w:id="8"/>
    </w:p>
    <w:p w14:paraId="2C3F6D7D" w14:textId="77777777" w:rsidR="00CA02D9" w:rsidRDefault="00CA02D9" w:rsidP="002E0983">
      <w:r>
        <w:t xml:space="preserve">Agrani Bank's mission is to ethically and transparently establish an unwavering framework that defines its controllers and internal corporate concepts and teachings to inculcate the best culture in its business policies and procedures and to enhance their quality and above all to Customers get maximum benefits. </w:t>
      </w:r>
    </w:p>
    <w:p w14:paraId="185818BF" w14:textId="77777777" w:rsidR="00CA02D9" w:rsidRDefault="00CA02D9" w:rsidP="002E0983"/>
    <w:p w14:paraId="06BA240B" w14:textId="77777777" w:rsidR="00CA02D9" w:rsidRDefault="00CA02D9" w:rsidP="002E0983">
      <w:r>
        <w:t>Upholding the highest ethical value and social responsibility worthy of a leading corporate citizen. Agrani Bank continuously strives to enhance its productivity progress and increase its profitability and shareholder value.</w:t>
      </w:r>
    </w:p>
    <w:p w14:paraId="3BBB9D42" w14:textId="7852B9CF" w:rsidR="00BB6363" w:rsidRDefault="00BB6363" w:rsidP="00CA02D9">
      <w:pPr>
        <w:spacing w:line="259" w:lineRule="auto"/>
      </w:pPr>
    </w:p>
    <w:p w14:paraId="18AF3370" w14:textId="57F28889" w:rsidR="00BB6363" w:rsidRDefault="00BB6363">
      <w:pPr>
        <w:spacing w:line="259" w:lineRule="auto"/>
        <w:jc w:val="left"/>
      </w:pPr>
    </w:p>
    <w:p w14:paraId="0E6CD0E1" w14:textId="77777777" w:rsidR="00BB6363" w:rsidRDefault="00BB6363">
      <w:pPr>
        <w:spacing w:line="259" w:lineRule="auto"/>
        <w:jc w:val="left"/>
      </w:pPr>
    </w:p>
    <w:p w14:paraId="75106484" w14:textId="03E990D7" w:rsidR="002B56C6" w:rsidRDefault="00BB6363" w:rsidP="002B56C6">
      <w:pPr>
        <w:pStyle w:val="Heading2"/>
        <w:rPr>
          <w:rFonts w:cs="Times New Roman"/>
          <w:color w:val="222222"/>
          <w:shd w:val="clear" w:color="auto" w:fill="FFFFFF"/>
        </w:rPr>
      </w:pPr>
      <w:bookmarkStart w:id="9" w:name="_Toc136888982"/>
      <w:bookmarkStart w:id="10" w:name="_Toc179034748"/>
      <w:r>
        <w:t>2.</w:t>
      </w:r>
      <w:r w:rsidR="003B2C0C">
        <w:t>3</w:t>
      </w:r>
      <w:r>
        <w:t xml:space="preserve"> </w:t>
      </w:r>
      <w:bookmarkEnd w:id="9"/>
      <w:r w:rsidR="002B56C6">
        <w:t>Vision of Agrani Bank Ltd.</w:t>
      </w:r>
      <w:bookmarkEnd w:id="10"/>
    </w:p>
    <w:p w14:paraId="7010E24C" w14:textId="16E6A497" w:rsidR="002B56C6" w:rsidRDefault="00CA02D9" w:rsidP="00BB6363">
      <w:pPr>
        <w:rPr>
          <w:rFonts w:cs="Times New Roman"/>
          <w:szCs w:val="24"/>
        </w:rPr>
      </w:pPr>
      <w:r w:rsidRPr="00CA02D9">
        <w:rPr>
          <w:rFonts w:cs="Times New Roman"/>
          <w:szCs w:val="24"/>
        </w:rPr>
        <w:t xml:space="preserve">Agrani Bank's vision is to be recognized as the best leading state-run commercial bank in Bangladesh and to operate with the highest quality and efficiency, provide well-managed fast service to customers and maintain solid liquidate. </w:t>
      </w:r>
      <w:r w:rsidR="00BB6363">
        <w:rPr>
          <w:rFonts w:cs="Times New Roman"/>
          <w:szCs w:val="24"/>
        </w:rPr>
        <w:t xml:space="preserve">It fantasizes </w:t>
      </w:r>
      <w:r w:rsidR="00BB6363">
        <w:rPr>
          <w:rFonts w:ascii="Nirmala UI" w:hAnsi="Nirmala UI" w:cs="Nirmala UI"/>
          <w:szCs w:val="24"/>
        </w:rPr>
        <w:t>of</w:t>
      </w:r>
      <w:r w:rsidR="00BB6363">
        <w:rPr>
          <w:rFonts w:cs="Times New Roman"/>
          <w:szCs w:val="24"/>
        </w:rPr>
        <w:t xml:space="preserve"> a more prosperous Bangladesh. </w:t>
      </w:r>
    </w:p>
    <w:p w14:paraId="368C0157" w14:textId="10ED0621" w:rsidR="00BB6363" w:rsidRDefault="00BB6363" w:rsidP="00BB6363">
      <w:pPr>
        <w:rPr>
          <w:rFonts w:cs="Times New Roman"/>
          <w:szCs w:val="24"/>
        </w:rPr>
      </w:pPr>
      <w:r>
        <w:rPr>
          <w:rFonts w:cs="Times New Roman"/>
          <w:szCs w:val="24"/>
        </w:rPr>
        <w:t>Arts and literature, sports and athletics, music and entertainment, science and education, health and hygiene, a clean and population-free environment, and, most importantly, a moral and ethical society make all of our lives worthwhile. Agrani Bank's main theory is based on a universe of creation and the wonder enchantment of a charmed life that is brimming with the spirit of life and adventures that promote human development.</w:t>
      </w:r>
    </w:p>
    <w:p w14:paraId="0B755823" w14:textId="77777777" w:rsidR="00BB6363" w:rsidRDefault="00BB6363">
      <w:pPr>
        <w:spacing w:line="259" w:lineRule="auto"/>
        <w:jc w:val="left"/>
        <w:rPr>
          <w:rFonts w:eastAsiaTheme="majorEastAsia" w:cstheme="majorBidi"/>
          <w:b/>
          <w:color w:val="2F5496" w:themeColor="accent1" w:themeShade="BF"/>
          <w:sz w:val="26"/>
          <w:szCs w:val="26"/>
        </w:rPr>
      </w:pPr>
      <w:bookmarkStart w:id="11" w:name="_Toc136888983"/>
      <w:r>
        <w:br w:type="page"/>
      </w:r>
    </w:p>
    <w:p w14:paraId="7D0E941D" w14:textId="7AC3D0A3" w:rsidR="00BB6363" w:rsidRDefault="00BB6363" w:rsidP="00BB6363">
      <w:pPr>
        <w:pStyle w:val="Heading2"/>
        <w:rPr>
          <w:sz w:val="30"/>
          <w:szCs w:val="32"/>
        </w:rPr>
      </w:pPr>
      <w:bookmarkStart w:id="12" w:name="_Toc179034749"/>
      <w:r>
        <w:lastRenderedPageBreak/>
        <w:t>2.</w:t>
      </w:r>
      <w:r w:rsidR="003B2C0C">
        <w:t>4</w:t>
      </w:r>
      <w:r>
        <w:t xml:space="preserve"> </w:t>
      </w:r>
      <w:bookmarkEnd w:id="11"/>
      <w:r w:rsidR="002B56C6">
        <w:t>Objectives of Agrani Bank Ltd.</w:t>
      </w:r>
      <w:bookmarkEnd w:id="12"/>
    </w:p>
    <w:p w14:paraId="335520A3" w14:textId="77777777" w:rsidR="00BB6363" w:rsidRDefault="00BB6363" w:rsidP="00BB6363">
      <w:pPr>
        <w:rPr>
          <w:rFonts w:cs="Times New Roman"/>
          <w:szCs w:val="24"/>
        </w:rPr>
      </w:pPr>
      <w:r>
        <w:rPr>
          <w:rFonts w:cs="Times New Roman"/>
          <w:szCs w:val="24"/>
        </w:rPr>
        <w:t>There are a lot of objectives of Agrani Bank Limited. The core objectives are given below:</w:t>
      </w:r>
    </w:p>
    <w:p w14:paraId="63D1C9AE" w14:textId="227B0969" w:rsidR="00BB6363" w:rsidRPr="002B56C6" w:rsidRDefault="00BB6363" w:rsidP="002B56C6">
      <w:pPr>
        <w:pStyle w:val="ListParagraph"/>
        <w:numPr>
          <w:ilvl w:val="0"/>
          <w:numId w:val="1"/>
        </w:numPr>
        <w:rPr>
          <w:rFonts w:cs="Times New Roman"/>
          <w:szCs w:val="24"/>
        </w:rPr>
      </w:pPr>
      <w:r w:rsidRPr="002B56C6">
        <w:rPr>
          <w:rFonts w:cs="Times New Roman"/>
          <w:szCs w:val="24"/>
        </w:rPr>
        <w:t>Achieving at least a 7.00 per cent share of deposits and a 5.50 per cent share of loans and advances of the Bangladeshi market.</w:t>
      </w:r>
    </w:p>
    <w:p w14:paraId="60EA1DC4" w14:textId="77777777" w:rsidR="009E2888" w:rsidRDefault="009E2888" w:rsidP="009E2888">
      <w:pPr>
        <w:pStyle w:val="ListParagraph"/>
        <w:numPr>
          <w:ilvl w:val="0"/>
          <w:numId w:val="1"/>
        </w:numPr>
        <w:rPr>
          <w:rFonts w:cs="Times New Roman"/>
          <w:szCs w:val="24"/>
        </w:rPr>
      </w:pPr>
      <w:r w:rsidRPr="009E2888">
        <w:rPr>
          <w:rFonts w:cs="Times New Roman"/>
          <w:szCs w:val="24"/>
        </w:rPr>
        <w:t>Contributing to the economic welfare of the country with a particular focus on remittances, SMEs, and rural credit.</w:t>
      </w:r>
    </w:p>
    <w:p w14:paraId="19E0F89E" w14:textId="77777777" w:rsidR="009E2888" w:rsidRPr="009E2888" w:rsidRDefault="00BB6363" w:rsidP="00BB6363">
      <w:pPr>
        <w:pStyle w:val="ListParagraph"/>
        <w:numPr>
          <w:ilvl w:val="0"/>
          <w:numId w:val="1"/>
        </w:numPr>
        <w:rPr>
          <w:rFonts w:cs="Times New Roman"/>
          <w:szCs w:val="24"/>
        </w:rPr>
      </w:pPr>
      <w:r w:rsidRPr="009E2888">
        <w:rPr>
          <w:rFonts w:ascii="Cambria Math" w:hAnsi="Cambria Math" w:cs="Cambria Math"/>
          <w:szCs w:val="24"/>
        </w:rPr>
        <w:t xml:space="preserve">Obtaining competitive advantages by reducing total </w:t>
      </w:r>
      <w:r w:rsidRPr="009E2888">
        <w:rPr>
          <w:rFonts w:hAnsi="Cambria Math" w:cs="Cambria Math"/>
          <w:szCs w:val="24"/>
        </w:rPr>
        <w:t>expenditure</w:t>
      </w:r>
      <w:r w:rsidRPr="009E2888">
        <w:rPr>
          <w:rFonts w:ascii="Cambria Math" w:hAnsi="Cambria Math" w:cs="Cambria Math"/>
          <w:szCs w:val="24"/>
        </w:rPr>
        <w:t xml:space="preserve"> relative to rivals.</w:t>
      </w:r>
    </w:p>
    <w:p w14:paraId="24E28B4E" w14:textId="77777777" w:rsidR="009E2888" w:rsidRPr="009E2888" w:rsidRDefault="00BB6363" w:rsidP="00BB6363">
      <w:pPr>
        <w:pStyle w:val="ListParagraph"/>
        <w:numPr>
          <w:ilvl w:val="0"/>
          <w:numId w:val="1"/>
        </w:numPr>
        <w:rPr>
          <w:rFonts w:cs="Times New Roman"/>
          <w:szCs w:val="24"/>
        </w:rPr>
      </w:pPr>
      <w:r w:rsidRPr="009E2888">
        <w:rPr>
          <w:rFonts w:ascii="Cambria Math" w:hAnsi="Cambria Math" w:cs="Cambria Math"/>
          <w:szCs w:val="24"/>
        </w:rPr>
        <w:t>Surpassing rivals by offering top-notch customer support.</w:t>
      </w:r>
    </w:p>
    <w:p w14:paraId="519F6CA2" w14:textId="77777777" w:rsidR="009E2888" w:rsidRPr="009E2888" w:rsidRDefault="00BB6363" w:rsidP="00BB6363">
      <w:pPr>
        <w:pStyle w:val="ListParagraph"/>
        <w:numPr>
          <w:ilvl w:val="0"/>
          <w:numId w:val="1"/>
        </w:numPr>
        <w:rPr>
          <w:rFonts w:cs="Times New Roman"/>
          <w:szCs w:val="24"/>
        </w:rPr>
      </w:pPr>
      <w:r w:rsidRPr="009E2888">
        <w:rPr>
          <w:rFonts w:ascii="Cambria Math" w:hAnsi="Cambria Math" w:cs="Cambria Math"/>
          <w:szCs w:val="24"/>
        </w:rPr>
        <w:t>Becoming the peer group's technological leader.</w:t>
      </w:r>
    </w:p>
    <w:p w14:paraId="3662799D" w14:textId="77777777" w:rsidR="009E2888" w:rsidRDefault="00BB6363" w:rsidP="00BB6363">
      <w:pPr>
        <w:pStyle w:val="ListParagraph"/>
        <w:numPr>
          <w:ilvl w:val="0"/>
          <w:numId w:val="1"/>
        </w:numPr>
        <w:rPr>
          <w:rFonts w:cs="Times New Roman"/>
          <w:szCs w:val="24"/>
        </w:rPr>
      </w:pPr>
      <w:r w:rsidRPr="009E2888">
        <w:rPr>
          <w:rFonts w:cs="Times New Roman"/>
          <w:szCs w:val="24"/>
        </w:rPr>
        <w:t>Providing innovative and quality customer service.</w:t>
      </w:r>
    </w:p>
    <w:p w14:paraId="1AA5468D" w14:textId="77777777" w:rsidR="009E2888" w:rsidRPr="009E2888" w:rsidRDefault="00BB6363" w:rsidP="00BB6363">
      <w:pPr>
        <w:pStyle w:val="ListParagraph"/>
        <w:numPr>
          <w:ilvl w:val="0"/>
          <w:numId w:val="1"/>
        </w:numPr>
        <w:rPr>
          <w:rFonts w:cs="Times New Roman"/>
          <w:szCs w:val="24"/>
        </w:rPr>
      </w:pPr>
      <w:r w:rsidRPr="009E2888">
        <w:rPr>
          <w:rFonts w:hAnsi="Cambria Math" w:cs="Cambria Math"/>
          <w:szCs w:val="24"/>
        </w:rPr>
        <w:t>Enhancing the Bank's reputation for quality.</w:t>
      </w:r>
    </w:p>
    <w:p w14:paraId="019FB88C" w14:textId="77777777" w:rsidR="009E2888" w:rsidRDefault="00BB6363" w:rsidP="00BB6363">
      <w:pPr>
        <w:pStyle w:val="ListParagraph"/>
        <w:numPr>
          <w:ilvl w:val="0"/>
          <w:numId w:val="1"/>
        </w:numPr>
        <w:rPr>
          <w:rFonts w:cs="Times New Roman"/>
          <w:szCs w:val="24"/>
        </w:rPr>
      </w:pPr>
      <w:r w:rsidRPr="009E2888">
        <w:rPr>
          <w:rFonts w:cs="Times New Roman"/>
          <w:szCs w:val="24"/>
        </w:rPr>
        <w:t>Strengthening research capability for innovative products.</w:t>
      </w:r>
    </w:p>
    <w:p w14:paraId="3614B53A" w14:textId="77777777" w:rsidR="009E2888" w:rsidRDefault="00BB6363" w:rsidP="00BB6363">
      <w:pPr>
        <w:pStyle w:val="ListParagraph"/>
        <w:numPr>
          <w:ilvl w:val="0"/>
          <w:numId w:val="1"/>
        </w:numPr>
        <w:rPr>
          <w:rFonts w:cs="Times New Roman"/>
          <w:szCs w:val="24"/>
        </w:rPr>
      </w:pPr>
      <w:r w:rsidRPr="009E2888">
        <w:rPr>
          <w:rFonts w:cs="Times New Roman"/>
          <w:szCs w:val="24"/>
        </w:rPr>
        <w:t xml:space="preserve">Make banking products accessible and affordable </w:t>
      </w:r>
    </w:p>
    <w:p w14:paraId="155DDB56" w14:textId="53793BA6" w:rsidR="00BB6363" w:rsidRPr="009E2888" w:rsidRDefault="009E2888" w:rsidP="00BB6363">
      <w:pPr>
        <w:pStyle w:val="ListParagraph"/>
        <w:numPr>
          <w:ilvl w:val="0"/>
          <w:numId w:val="1"/>
        </w:numPr>
        <w:rPr>
          <w:rFonts w:cs="Times New Roman"/>
          <w:szCs w:val="24"/>
        </w:rPr>
      </w:pPr>
      <w:r>
        <w:rPr>
          <w:rFonts w:cs="Times New Roman"/>
          <w:szCs w:val="24"/>
        </w:rPr>
        <w:t xml:space="preserve"> </w:t>
      </w:r>
      <w:r w:rsidR="00BB6363" w:rsidRPr="009E2888">
        <w:rPr>
          <w:rFonts w:cs="Times New Roman"/>
          <w:szCs w:val="24"/>
        </w:rPr>
        <w:t>Meet society's needs and expectations.</w:t>
      </w:r>
    </w:p>
    <w:p w14:paraId="71B3B1F1" w14:textId="5DD72D90" w:rsidR="00811E95" w:rsidRDefault="00811E95">
      <w:pPr>
        <w:spacing w:line="259" w:lineRule="auto"/>
        <w:jc w:val="left"/>
      </w:pPr>
      <w:r>
        <w:br w:type="page"/>
      </w:r>
    </w:p>
    <w:p w14:paraId="793F72B7" w14:textId="7D6C8859" w:rsidR="0019445D" w:rsidRDefault="0019445D" w:rsidP="0019445D">
      <w:pPr>
        <w:pStyle w:val="Heading2"/>
      </w:pPr>
      <w:bookmarkStart w:id="13" w:name="_Toc136888988"/>
      <w:bookmarkStart w:id="14" w:name="_Toc179034750"/>
      <w:r>
        <w:lastRenderedPageBreak/>
        <w:t>2.</w:t>
      </w:r>
      <w:r w:rsidR="003B2C0C">
        <w:t>5</w:t>
      </w:r>
      <w:r>
        <w:t xml:space="preserve"> </w:t>
      </w:r>
      <w:bookmarkEnd w:id="13"/>
      <w:r w:rsidR="008E40D4">
        <w:t>Management Structure of Agrani Bank Ltd.</w:t>
      </w:r>
      <w:bookmarkEnd w:id="14"/>
      <w:r>
        <w:t xml:space="preserve"> </w:t>
      </w:r>
    </w:p>
    <w:p w14:paraId="690954D5" w14:textId="1E8D5B7E" w:rsidR="00445D09" w:rsidRDefault="0019445D" w:rsidP="00445D09">
      <w:pPr>
        <w:jc w:val="center"/>
        <w:rPr>
          <w:rFonts w:cs="Times New Roman"/>
          <w:szCs w:val="24"/>
        </w:rPr>
      </w:pPr>
      <w:r>
        <w:rPr>
          <w:noProof/>
        </w:rPr>
        <w:drawing>
          <wp:inline distT="0" distB="0" distL="0" distR="0" wp14:anchorId="35819660" wp14:editId="4772B685">
            <wp:extent cx="5378027" cy="7265052"/>
            <wp:effectExtent l="0" t="0" r="0" b="0"/>
            <wp:docPr id="103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1" cstate="print"/>
                    <a:srcRect/>
                    <a:stretch/>
                  </pic:blipFill>
                  <pic:spPr>
                    <a:xfrm>
                      <a:off x="0" y="0"/>
                      <a:ext cx="5378027" cy="7265052"/>
                    </a:xfrm>
                    <a:prstGeom prst="rect">
                      <a:avLst/>
                    </a:prstGeom>
                  </pic:spPr>
                </pic:pic>
              </a:graphicData>
            </a:graphic>
          </wp:inline>
        </w:drawing>
      </w:r>
      <w:r w:rsidR="00445D09">
        <w:rPr>
          <w:rFonts w:cs="Times New Roman"/>
          <w:szCs w:val="24"/>
        </w:rPr>
        <w:t xml:space="preserve">(Source-Agrani Bank website: </w:t>
      </w:r>
      <w:hyperlink r:id="rId12" w:history="1">
        <w:r w:rsidR="00C55ABD" w:rsidRPr="006C4674">
          <w:rPr>
            <w:rStyle w:val="Hyperlink"/>
            <w:rFonts w:cs="Times New Roman"/>
            <w:szCs w:val="24"/>
          </w:rPr>
          <w:t>https://www.agranibank.org/</w:t>
        </w:r>
      </w:hyperlink>
      <w:r w:rsidR="00C55ABD">
        <w:rPr>
          <w:rFonts w:cs="Times New Roman"/>
          <w:szCs w:val="24"/>
        </w:rPr>
        <w:t>)</w:t>
      </w:r>
    </w:p>
    <w:p w14:paraId="26086D69" w14:textId="2CC9CD75" w:rsidR="00A06550" w:rsidRDefault="00445D09" w:rsidP="00445D09">
      <w:pPr>
        <w:jc w:val="center"/>
        <w:rPr>
          <w:rFonts w:cs="Times New Roman"/>
          <w:szCs w:val="24"/>
        </w:rPr>
      </w:pPr>
      <w:r>
        <w:rPr>
          <w:rFonts w:cs="Times New Roman"/>
          <w:szCs w:val="24"/>
        </w:rPr>
        <w:t>Figure 2.1: Management Hierarchy</w:t>
      </w:r>
    </w:p>
    <w:p w14:paraId="54DBC22B" w14:textId="77777777" w:rsidR="00A06550" w:rsidRDefault="00A06550">
      <w:pPr>
        <w:spacing w:line="259" w:lineRule="auto"/>
        <w:jc w:val="left"/>
        <w:rPr>
          <w:rFonts w:cs="Times New Roman"/>
          <w:szCs w:val="24"/>
        </w:rPr>
      </w:pPr>
      <w:r>
        <w:rPr>
          <w:rFonts w:cs="Times New Roman"/>
          <w:szCs w:val="24"/>
        </w:rPr>
        <w:br w:type="page"/>
      </w:r>
    </w:p>
    <w:p w14:paraId="0DB4BC19" w14:textId="49F0A496" w:rsidR="00A06550" w:rsidRDefault="00A06550" w:rsidP="00A06550">
      <w:pPr>
        <w:pStyle w:val="Heading2"/>
      </w:pPr>
      <w:bookmarkStart w:id="15" w:name="_Toc136888989"/>
      <w:bookmarkStart w:id="16" w:name="_Toc179034751"/>
      <w:r>
        <w:lastRenderedPageBreak/>
        <w:t>2.</w:t>
      </w:r>
      <w:r w:rsidR="003B2C0C">
        <w:t>6</w:t>
      </w:r>
      <w:r>
        <w:t xml:space="preserve"> </w:t>
      </w:r>
      <w:bookmarkEnd w:id="15"/>
      <w:r w:rsidR="008E40D4">
        <w:t>Agrani Bank Ltd. Products and Services</w:t>
      </w:r>
      <w:bookmarkEnd w:id="16"/>
    </w:p>
    <w:p w14:paraId="69A0C1B4" w14:textId="2FC594ED" w:rsidR="00A06550" w:rsidRDefault="008E40D4" w:rsidP="00A06550">
      <w:pPr>
        <w:rPr>
          <w:rFonts w:cs="Times New Roman"/>
          <w:b/>
          <w:bCs/>
          <w:szCs w:val="24"/>
        </w:rPr>
      </w:pPr>
      <w:r>
        <w:rPr>
          <w:rFonts w:cs="Times New Roman"/>
          <w:b/>
          <w:bCs/>
          <w:szCs w:val="24"/>
        </w:rPr>
        <w:t xml:space="preserve">1. </w:t>
      </w:r>
      <w:r w:rsidR="00A06550">
        <w:rPr>
          <w:rFonts w:cs="Times New Roman"/>
          <w:b/>
          <w:bCs/>
          <w:szCs w:val="24"/>
        </w:rPr>
        <w:t>Deposit</w:t>
      </w:r>
    </w:p>
    <w:p w14:paraId="57340030" w14:textId="77777777" w:rsidR="00A06550" w:rsidRDefault="00A06550" w:rsidP="00A06550">
      <w:pPr>
        <w:rPr>
          <w:rFonts w:cs="Times New Roman"/>
          <w:b/>
          <w:bCs/>
          <w:szCs w:val="24"/>
        </w:rPr>
      </w:pPr>
      <w:r>
        <w:rPr>
          <w:rFonts w:cs="Times New Roman"/>
          <w:b/>
          <w:bCs/>
          <w:szCs w:val="24"/>
        </w:rPr>
        <w:t>a)</w:t>
      </w:r>
      <w:r>
        <w:rPr>
          <w:rFonts w:cs="Times New Roman"/>
          <w:b/>
          <w:bCs/>
          <w:szCs w:val="24"/>
        </w:rPr>
        <w:tab/>
        <w:t>Taka Account</w:t>
      </w:r>
    </w:p>
    <w:p w14:paraId="00F81D90" w14:textId="77777777" w:rsidR="00A06550" w:rsidRDefault="00A06550" w:rsidP="00A06550">
      <w:pPr>
        <w:rPr>
          <w:rFonts w:cs="Times New Roman"/>
          <w:szCs w:val="24"/>
        </w:rPr>
      </w:pPr>
      <w:r>
        <w:rPr>
          <w:rFonts w:cs="Times New Roman"/>
          <w:szCs w:val="24"/>
        </w:rPr>
        <w:t>•</w:t>
      </w:r>
      <w:r>
        <w:rPr>
          <w:rFonts w:cs="Times New Roman"/>
          <w:szCs w:val="24"/>
        </w:rPr>
        <w:tab/>
        <w:t>Current Deposit (CD)</w:t>
      </w:r>
    </w:p>
    <w:p w14:paraId="4992D4E9" w14:textId="77777777" w:rsidR="00A06550" w:rsidRDefault="00A06550" w:rsidP="00A06550">
      <w:pPr>
        <w:rPr>
          <w:rFonts w:cs="Times New Roman"/>
          <w:szCs w:val="24"/>
        </w:rPr>
      </w:pPr>
      <w:r>
        <w:rPr>
          <w:rFonts w:cs="Times New Roman"/>
          <w:szCs w:val="24"/>
        </w:rPr>
        <w:t>•</w:t>
      </w:r>
      <w:r>
        <w:rPr>
          <w:rFonts w:cs="Times New Roman"/>
          <w:szCs w:val="24"/>
        </w:rPr>
        <w:tab/>
        <w:t>Savings Deposit (SB)</w:t>
      </w:r>
    </w:p>
    <w:p w14:paraId="20FEBFF2" w14:textId="77777777" w:rsidR="00A06550" w:rsidRDefault="00A06550" w:rsidP="00A06550">
      <w:pPr>
        <w:rPr>
          <w:rFonts w:cs="Times New Roman"/>
          <w:szCs w:val="24"/>
        </w:rPr>
      </w:pPr>
      <w:r>
        <w:rPr>
          <w:rFonts w:cs="Times New Roman"/>
          <w:szCs w:val="24"/>
        </w:rPr>
        <w:t>•</w:t>
      </w:r>
      <w:r>
        <w:rPr>
          <w:rFonts w:cs="Times New Roman"/>
          <w:szCs w:val="24"/>
        </w:rPr>
        <w:tab/>
        <w:t>Fixed Deposit (FDR)</w:t>
      </w:r>
    </w:p>
    <w:p w14:paraId="681668EC" w14:textId="77777777" w:rsidR="00A06550" w:rsidRDefault="00A06550" w:rsidP="00A06550">
      <w:pPr>
        <w:rPr>
          <w:rFonts w:cs="Times New Roman"/>
          <w:szCs w:val="24"/>
        </w:rPr>
      </w:pPr>
      <w:r>
        <w:rPr>
          <w:rFonts w:cs="Times New Roman"/>
          <w:szCs w:val="24"/>
        </w:rPr>
        <w:t>•</w:t>
      </w:r>
      <w:r>
        <w:rPr>
          <w:rFonts w:cs="Times New Roman"/>
          <w:szCs w:val="24"/>
        </w:rPr>
        <w:tab/>
        <w:t>Special Notice Time Deposit (SNTD)</w:t>
      </w:r>
    </w:p>
    <w:p w14:paraId="3EC426E9" w14:textId="77777777" w:rsidR="00A06550" w:rsidRDefault="00A06550" w:rsidP="00A06550">
      <w:pPr>
        <w:rPr>
          <w:rFonts w:cs="Times New Roman"/>
          <w:szCs w:val="24"/>
        </w:rPr>
      </w:pPr>
      <w:r>
        <w:rPr>
          <w:rFonts w:cs="Times New Roman"/>
          <w:szCs w:val="24"/>
        </w:rPr>
        <w:t>•</w:t>
      </w:r>
      <w:r>
        <w:rPr>
          <w:rFonts w:cs="Times New Roman"/>
          <w:szCs w:val="24"/>
        </w:rPr>
        <w:tab/>
        <w:t>Non-Resident Special Taka Account (NRTA)</w:t>
      </w:r>
    </w:p>
    <w:p w14:paraId="0615982F" w14:textId="77777777" w:rsidR="00A06550" w:rsidRDefault="00A06550" w:rsidP="00A06550">
      <w:pPr>
        <w:rPr>
          <w:rFonts w:cs="Times New Roman"/>
          <w:szCs w:val="24"/>
        </w:rPr>
      </w:pPr>
      <w:r>
        <w:rPr>
          <w:rFonts w:cs="Times New Roman"/>
          <w:szCs w:val="24"/>
        </w:rPr>
        <w:t>•</w:t>
      </w:r>
      <w:r>
        <w:rPr>
          <w:rFonts w:cs="Times New Roman"/>
          <w:szCs w:val="24"/>
        </w:rPr>
        <w:tab/>
        <w:t>Non-Resident Investors Taka Account (NRIT)</w:t>
      </w:r>
    </w:p>
    <w:p w14:paraId="057BE6E5" w14:textId="77777777" w:rsidR="00A06550" w:rsidRDefault="00A06550" w:rsidP="00A06550">
      <w:pPr>
        <w:rPr>
          <w:rFonts w:cs="Times New Roman"/>
          <w:szCs w:val="24"/>
        </w:rPr>
      </w:pPr>
      <w:r>
        <w:rPr>
          <w:rFonts w:cs="Times New Roman"/>
          <w:szCs w:val="24"/>
        </w:rPr>
        <w:t>•</w:t>
      </w:r>
      <w:r>
        <w:rPr>
          <w:rFonts w:cs="Times New Roman"/>
          <w:szCs w:val="24"/>
        </w:rPr>
        <w:tab/>
        <w:t xml:space="preserve">Agrani Bank Pension Scheme (APS) </w:t>
      </w:r>
    </w:p>
    <w:p w14:paraId="7D558BEC" w14:textId="77777777" w:rsidR="00A06550" w:rsidRDefault="00A06550" w:rsidP="00A06550">
      <w:pPr>
        <w:rPr>
          <w:rFonts w:cs="Times New Roman"/>
          <w:szCs w:val="24"/>
        </w:rPr>
      </w:pPr>
      <w:r>
        <w:rPr>
          <w:rFonts w:cs="Times New Roman"/>
          <w:szCs w:val="24"/>
        </w:rPr>
        <w:t>•</w:t>
      </w:r>
      <w:r>
        <w:rPr>
          <w:rFonts w:cs="Times New Roman"/>
          <w:szCs w:val="24"/>
        </w:rPr>
        <w:tab/>
        <w:t xml:space="preserve">Agrani Bank Bishesh </w:t>
      </w:r>
      <w:proofErr w:type="spellStart"/>
      <w:r>
        <w:rPr>
          <w:rFonts w:cs="Times New Roman"/>
          <w:szCs w:val="24"/>
        </w:rPr>
        <w:t>Shanchay</w:t>
      </w:r>
      <w:proofErr w:type="spellEnd"/>
      <w:r>
        <w:rPr>
          <w:rFonts w:cs="Times New Roman"/>
          <w:szCs w:val="24"/>
        </w:rPr>
        <w:t xml:space="preserve"> Scheme (ABS)</w:t>
      </w:r>
    </w:p>
    <w:p w14:paraId="55E5C76E" w14:textId="77777777" w:rsidR="00A06550" w:rsidRDefault="00A06550" w:rsidP="00A06550">
      <w:pPr>
        <w:rPr>
          <w:rFonts w:cs="Times New Roman"/>
          <w:szCs w:val="24"/>
        </w:rPr>
      </w:pPr>
      <w:r>
        <w:rPr>
          <w:rFonts w:cs="Times New Roman"/>
          <w:szCs w:val="24"/>
        </w:rPr>
        <w:t>•</w:t>
      </w:r>
      <w:r>
        <w:rPr>
          <w:rFonts w:cs="Times New Roman"/>
          <w:szCs w:val="24"/>
        </w:rPr>
        <w:tab/>
        <w:t>Agrani Double Benefit Scheme (ADBS)</w:t>
      </w:r>
    </w:p>
    <w:p w14:paraId="6B20B9F9" w14:textId="77777777" w:rsidR="00A06550" w:rsidRDefault="00A06550" w:rsidP="00A06550">
      <w:pPr>
        <w:rPr>
          <w:rFonts w:cs="Times New Roman"/>
          <w:szCs w:val="24"/>
        </w:rPr>
      </w:pPr>
      <w:r>
        <w:rPr>
          <w:rFonts w:cs="Times New Roman"/>
          <w:szCs w:val="24"/>
        </w:rPr>
        <w:t>•</w:t>
      </w:r>
      <w:r>
        <w:rPr>
          <w:rFonts w:cs="Times New Roman"/>
          <w:szCs w:val="24"/>
        </w:rPr>
        <w:tab/>
        <w:t>Monthly Deposit Scheme (MDS)</w:t>
      </w:r>
    </w:p>
    <w:p w14:paraId="618B7EB0" w14:textId="77777777" w:rsidR="00A06550" w:rsidRDefault="00A06550" w:rsidP="00A06550">
      <w:pPr>
        <w:rPr>
          <w:rFonts w:cs="Times New Roman"/>
          <w:szCs w:val="24"/>
        </w:rPr>
      </w:pPr>
      <w:r>
        <w:rPr>
          <w:rFonts w:cs="Times New Roman"/>
          <w:szCs w:val="24"/>
        </w:rPr>
        <w:t>•</w:t>
      </w:r>
      <w:r>
        <w:rPr>
          <w:rFonts w:cs="Times New Roman"/>
          <w:szCs w:val="24"/>
        </w:rPr>
        <w:tab/>
        <w:t>Student's Savings A/C (School Banking)</w:t>
      </w:r>
    </w:p>
    <w:p w14:paraId="3F88223E" w14:textId="77777777" w:rsidR="00A06550" w:rsidRDefault="00A06550" w:rsidP="00A06550">
      <w:pPr>
        <w:rPr>
          <w:rFonts w:cs="Times New Roman"/>
          <w:szCs w:val="24"/>
        </w:rPr>
      </w:pPr>
      <w:r>
        <w:rPr>
          <w:rFonts w:cs="Times New Roman"/>
          <w:szCs w:val="24"/>
        </w:rPr>
        <w:t>•</w:t>
      </w:r>
      <w:r>
        <w:rPr>
          <w:rFonts w:cs="Times New Roman"/>
          <w:szCs w:val="24"/>
        </w:rPr>
        <w:tab/>
        <w:t>Small Life Insurance Policy Holders A/C</w:t>
      </w:r>
    </w:p>
    <w:p w14:paraId="64968B79" w14:textId="77777777" w:rsidR="00A06550" w:rsidRDefault="00A06550" w:rsidP="00A06550">
      <w:pPr>
        <w:rPr>
          <w:rFonts w:cs="Times New Roman"/>
          <w:szCs w:val="24"/>
        </w:rPr>
      </w:pPr>
      <w:r>
        <w:rPr>
          <w:rFonts w:cs="Times New Roman"/>
          <w:szCs w:val="24"/>
        </w:rPr>
        <w:t>•</w:t>
      </w:r>
      <w:r>
        <w:rPr>
          <w:rFonts w:cs="Times New Roman"/>
          <w:szCs w:val="24"/>
        </w:rPr>
        <w:tab/>
        <w:t>Farmers A/C</w:t>
      </w:r>
    </w:p>
    <w:p w14:paraId="7E7190D2" w14:textId="77777777" w:rsidR="00A06550" w:rsidRDefault="00A06550" w:rsidP="00A06550">
      <w:pPr>
        <w:rPr>
          <w:rFonts w:cs="Times New Roman"/>
          <w:szCs w:val="24"/>
        </w:rPr>
      </w:pPr>
      <w:r>
        <w:rPr>
          <w:rFonts w:cs="Times New Roman"/>
          <w:szCs w:val="24"/>
        </w:rPr>
        <w:t>•</w:t>
      </w:r>
      <w:r>
        <w:rPr>
          <w:rFonts w:cs="Times New Roman"/>
          <w:szCs w:val="24"/>
        </w:rPr>
        <w:tab/>
        <w:t>Freedom Fighters A/C</w:t>
      </w:r>
    </w:p>
    <w:p w14:paraId="65CDCFC2" w14:textId="77777777" w:rsidR="00A06550" w:rsidRDefault="00A06550" w:rsidP="00A06550">
      <w:pPr>
        <w:rPr>
          <w:rFonts w:cs="Times New Roman"/>
          <w:szCs w:val="24"/>
        </w:rPr>
      </w:pPr>
      <w:r>
        <w:rPr>
          <w:rFonts w:cs="Times New Roman"/>
          <w:szCs w:val="24"/>
        </w:rPr>
        <w:t>•</w:t>
      </w:r>
      <w:r>
        <w:rPr>
          <w:rFonts w:cs="Times New Roman"/>
          <w:szCs w:val="24"/>
        </w:rPr>
        <w:tab/>
        <w:t>Other Beneficiaries A/C under Social Securities</w:t>
      </w:r>
    </w:p>
    <w:p w14:paraId="23A82EE7" w14:textId="77777777" w:rsidR="00A06550" w:rsidRDefault="00A06550" w:rsidP="00A06550">
      <w:pPr>
        <w:rPr>
          <w:rFonts w:cs="Times New Roman"/>
          <w:b/>
          <w:bCs/>
          <w:szCs w:val="24"/>
        </w:rPr>
      </w:pPr>
      <w:r>
        <w:rPr>
          <w:rFonts w:cs="Times New Roman"/>
          <w:b/>
          <w:bCs/>
          <w:szCs w:val="24"/>
        </w:rPr>
        <w:t>b)</w:t>
      </w:r>
      <w:r>
        <w:rPr>
          <w:rFonts w:cs="Times New Roman"/>
          <w:b/>
          <w:bCs/>
          <w:szCs w:val="24"/>
        </w:rPr>
        <w:tab/>
        <w:t>Foreign Currency Account</w:t>
      </w:r>
    </w:p>
    <w:p w14:paraId="061C1D34" w14:textId="77777777" w:rsidR="00A06550" w:rsidRDefault="00A06550" w:rsidP="00A06550">
      <w:pPr>
        <w:rPr>
          <w:rFonts w:cs="Times New Roman"/>
          <w:szCs w:val="24"/>
        </w:rPr>
      </w:pPr>
      <w:r>
        <w:rPr>
          <w:rFonts w:cs="Times New Roman"/>
          <w:szCs w:val="24"/>
        </w:rPr>
        <w:t>•</w:t>
      </w:r>
      <w:r>
        <w:rPr>
          <w:rFonts w:cs="Times New Roman"/>
          <w:szCs w:val="24"/>
        </w:rPr>
        <w:tab/>
        <w:t>Foreign Currency (FC) A/C</w:t>
      </w:r>
    </w:p>
    <w:p w14:paraId="7F98F9BA" w14:textId="77777777" w:rsidR="00A06550" w:rsidRDefault="00A06550" w:rsidP="00A06550">
      <w:pPr>
        <w:rPr>
          <w:rFonts w:cs="Times New Roman"/>
          <w:szCs w:val="24"/>
        </w:rPr>
      </w:pPr>
      <w:r>
        <w:rPr>
          <w:rFonts w:cs="Times New Roman"/>
          <w:szCs w:val="24"/>
        </w:rPr>
        <w:t>•</w:t>
      </w:r>
      <w:r>
        <w:rPr>
          <w:rFonts w:cs="Times New Roman"/>
          <w:szCs w:val="24"/>
        </w:rPr>
        <w:tab/>
        <w:t>Non-Resident Foreign Currency Deposit (NFCD) A/C</w:t>
      </w:r>
    </w:p>
    <w:p w14:paraId="2AB14A5C" w14:textId="77777777" w:rsidR="00A06550" w:rsidRDefault="00A06550" w:rsidP="00A06550">
      <w:pPr>
        <w:rPr>
          <w:rFonts w:cs="Times New Roman"/>
          <w:szCs w:val="24"/>
        </w:rPr>
      </w:pPr>
      <w:r>
        <w:rPr>
          <w:rFonts w:cs="Times New Roman"/>
          <w:szCs w:val="24"/>
        </w:rPr>
        <w:t>•</w:t>
      </w:r>
      <w:r>
        <w:rPr>
          <w:rFonts w:cs="Times New Roman"/>
          <w:szCs w:val="24"/>
        </w:rPr>
        <w:tab/>
        <w:t>Resident Foreign Currency Deposit (RFCD) A/C</w:t>
      </w:r>
    </w:p>
    <w:p w14:paraId="6E7E7393" w14:textId="77777777" w:rsidR="00A06550" w:rsidRDefault="00A06550" w:rsidP="00A06550">
      <w:pPr>
        <w:rPr>
          <w:rFonts w:cs="Times New Roman"/>
          <w:szCs w:val="24"/>
        </w:rPr>
      </w:pPr>
      <w:r>
        <w:rPr>
          <w:rFonts w:cs="Times New Roman"/>
          <w:szCs w:val="24"/>
        </w:rPr>
        <w:t>•</w:t>
      </w:r>
      <w:r>
        <w:rPr>
          <w:rFonts w:cs="Times New Roman"/>
          <w:szCs w:val="24"/>
        </w:rPr>
        <w:tab/>
        <w:t>Exporters Retention Quota (ERQ) A/C</w:t>
      </w:r>
    </w:p>
    <w:p w14:paraId="53F7F894" w14:textId="77777777" w:rsidR="000D0209" w:rsidRDefault="00A06550" w:rsidP="00A06550">
      <w:pPr>
        <w:rPr>
          <w:rFonts w:cs="Times New Roman"/>
          <w:b/>
          <w:bCs/>
          <w:szCs w:val="24"/>
        </w:rPr>
      </w:pPr>
      <w:r>
        <w:rPr>
          <w:rFonts w:cs="Times New Roman"/>
          <w:b/>
          <w:bCs/>
          <w:szCs w:val="24"/>
        </w:rPr>
        <w:t>2.</w:t>
      </w:r>
      <w:r>
        <w:rPr>
          <w:rFonts w:cs="Times New Roman"/>
          <w:b/>
          <w:bCs/>
          <w:szCs w:val="24"/>
        </w:rPr>
        <w:tab/>
        <w:t>Loans &amp; Advances</w:t>
      </w:r>
    </w:p>
    <w:p w14:paraId="0424CB89" w14:textId="3DF0A508" w:rsidR="00A06550" w:rsidRDefault="00A06550" w:rsidP="00A06550">
      <w:pPr>
        <w:rPr>
          <w:rFonts w:cs="Times New Roman"/>
          <w:b/>
          <w:bCs/>
          <w:szCs w:val="24"/>
        </w:rPr>
      </w:pPr>
      <w:r>
        <w:rPr>
          <w:rFonts w:cs="Times New Roman"/>
          <w:b/>
          <w:bCs/>
          <w:szCs w:val="24"/>
        </w:rPr>
        <w:t>a)</w:t>
      </w:r>
      <w:r>
        <w:rPr>
          <w:rFonts w:cs="Times New Roman"/>
          <w:b/>
          <w:bCs/>
          <w:szCs w:val="24"/>
        </w:rPr>
        <w:tab/>
      </w:r>
      <w:bookmarkStart w:id="17" w:name="_Hlk178953520"/>
      <w:r>
        <w:rPr>
          <w:rFonts w:cs="Times New Roman"/>
          <w:b/>
          <w:bCs/>
          <w:szCs w:val="24"/>
        </w:rPr>
        <w:t>Continuous Loan</w:t>
      </w:r>
    </w:p>
    <w:bookmarkEnd w:id="17"/>
    <w:p w14:paraId="12A10770" w14:textId="77777777" w:rsidR="00A06550" w:rsidRDefault="00A06550" w:rsidP="00A06550">
      <w:pPr>
        <w:rPr>
          <w:rFonts w:cs="Times New Roman"/>
          <w:szCs w:val="24"/>
        </w:rPr>
      </w:pPr>
      <w:r>
        <w:rPr>
          <w:rFonts w:cs="Times New Roman"/>
          <w:szCs w:val="24"/>
        </w:rPr>
        <w:lastRenderedPageBreak/>
        <w:t>•</w:t>
      </w:r>
      <w:r>
        <w:rPr>
          <w:rFonts w:cs="Times New Roman"/>
          <w:szCs w:val="24"/>
        </w:rPr>
        <w:tab/>
        <w:t>Cash Credit (Hypo)</w:t>
      </w:r>
    </w:p>
    <w:p w14:paraId="46A6FDCC" w14:textId="77777777" w:rsidR="00A06550" w:rsidRDefault="00A06550" w:rsidP="00A06550">
      <w:pPr>
        <w:rPr>
          <w:rFonts w:cs="Times New Roman"/>
          <w:szCs w:val="24"/>
        </w:rPr>
      </w:pPr>
      <w:r>
        <w:rPr>
          <w:rFonts w:cs="Times New Roman"/>
          <w:szCs w:val="24"/>
        </w:rPr>
        <w:t>•</w:t>
      </w:r>
      <w:r>
        <w:rPr>
          <w:rFonts w:cs="Times New Roman"/>
          <w:szCs w:val="24"/>
        </w:rPr>
        <w:tab/>
        <w:t>Cash Credit (Pledge)</w:t>
      </w:r>
    </w:p>
    <w:p w14:paraId="0F635819" w14:textId="77777777" w:rsidR="00A06550" w:rsidRDefault="00A06550" w:rsidP="00A06550">
      <w:pPr>
        <w:rPr>
          <w:rFonts w:cs="Times New Roman"/>
          <w:szCs w:val="24"/>
        </w:rPr>
      </w:pPr>
      <w:r>
        <w:rPr>
          <w:rFonts w:cs="Times New Roman"/>
          <w:szCs w:val="24"/>
        </w:rPr>
        <w:t>•</w:t>
      </w:r>
      <w:r>
        <w:rPr>
          <w:rFonts w:cs="Times New Roman"/>
          <w:szCs w:val="24"/>
        </w:rPr>
        <w:tab/>
        <w:t>Secured Overdraft (SOD)</w:t>
      </w:r>
    </w:p>
    <w:p w14:paraId="71377A84" w14:textId="77777777" w:rsidR="00A06550" w:rsidRDefault="00A06550" w:rsidP="00A06550">
      <w:pPr>
        <w:rPr>
          <w:rFonts w:cs="Times New Roman"/>
          <w:b/>
          <w:bCs/>
          <w:szCs w:val="24"/>
        </w:rPr>
      </w:pPr>
      <w:r>
        <w:rPr>
          <w:rFonts w:cs="Times New Roman"/>
          <w:b/>
          <w:bCs/>
          <w:szCs w:val="24"/>
        </w:rPr>
        <w:t>b)</w:t>
      </w:r>
      <w:r>
        <w:rPr>
          <w:rFonts w:cs="Times New Roman"/>
          <w:b/>
          <w:bCs/>
          <w:szCs w:val="24"/>
        </w:rPr>
        <w:tab/>
        <w:t>Term Loan</w:t>
      </w:r>
    </w:p>
    <w:p w14:paraId="78640612" w14:textId="77777777" w:rsidR="00A06550" w:rsidRDefault="00A06550" w:rsidP="00A06550">
      <w:pPr>
        <w:rPr>
          <w:rFonts w:cs="Times New Roman"/>
          <w:szCs w:val="24"/>
        </w:rPr>
      </w:pPr>
      <w:r>
        <w:rPr>
          <w:rFonts w:cs="Times New Roman"/>
          <w:szCs w:val="24"/>
        </w:rPr>
        <w:t>•</w:t>
      </w:r>
      <w:r>
        <w:rPr>
          <w:rFonts w:cs="Times New Roman"/>
          <w:szCs w:val="24"/>
        </w:rPr>
        <w:tab/>
        <w:t>Inland Bill Purchase (IBP)</w:t>
      </w:r>
    </w:p>
    <w:p w14:paraId="3049E4F0" w14:textId="77777777" w:rsidR="00A06550" w:rsidRDefault="00A06550" w:rsidP="00A06550">
      <w:pPr>
        <w:rPr>
          <w:rFonts w:cs="Times New Roman"/>
          <w:szCs w:val="24"/>
        </w:rPr>
      </w:pPr>
      <w:r>
        <w:rPr>
          <w:rFonts w:cs="Times New Roman"/>
          <w:szCs w:val="24"/>
        </w:rPr>
        <w:t>•</w:t>
      </w:r>
      <w:r>
        <w:rPr>
          <w:rFonts w:cs="Times New Roman"/>
          <w:szCs w:val="24"/>
        </w:rPr>
        <w:tab/>
        <w:t>Industrial Credit (IC)</w:t>
      </w:r>
    </w:p>
    <w:p w14:paraId="1DE0A388" w14:textId="77777777" w:rsidR="00A06550" w:rsidRDefault="00A06550" w:rsidP="00A06550">
      <w:pPr>
        <w:rPr>
          <w:rFonts w:cs="Times New Roman"/>
          <w:szCs w:val="24"/>
        </w:rPr>
      </w:pPr>
      <w:r>
        <w:rPr>
          <w:rFonts w:cs="Times New Roman"/>
          <w:szCs w:val="24"/>
        </w:rPr>
        <w:t>•</w:t>
      </w:r>
      <w:r>
        <w:rPr>
          <w:rFonts w:cs="Times New Roman"/>
          <w:szCs w:val="24"/>
        </w:rPr>
        <w:tab/>
        <w:t>Housing Loan (General &amp; Commercial)</w:t>
      </w:r>
    </w:p>
    <w:p w14:paraId="4DEE51CD" w14:textId="77777777" w:rsidR="00A06550" w:rsidRDefault="00A06550" w:rsidP="00A06550">
      <w:pPr>
        <w:rPr>
          <w:rFonts w:cs="Times New Roman"/>
          <w:szCs w:val="24"/>
        </w:rPr>
      </w:pPr>
      <w:r>
        <w:rPr>
          <w:rFonts w:cs="Times New Roman"/>
          <w:szCs w:val="24"/>
        </w:rPr>
        <w:t>•</w:t>
      </w:r>
      <w:r>
        <w:rPr>
          <w:rFonts w:cs="Times New Roman"/>
          <w:szCs w:val="24"/>
        </w:rPr>
        <w:tab/>
        <w:t>Consumer Credit</w:t>
      </w:r>
    </w:p>
    <w:p w14:paraId="4AC5048E" w14:textId="77777777" w:rsidR="00A06550" w:rsidRDefault="00A06550" w:rsidP="00A06550">
      <w:pPr>
        <w:rPr>
          <w:rFonts w:cs="Times New Roman"/>
          <w:szCs w:val="24"/>
        </w:rPr>
      </w:pPr>
      <w:r>
        <w:rPr>
          <w:rFonts w:cs="Times New Roman"/>
          <w:szCs w:val="24"/>
        </w:rPr>
        <w:t>•</w:t>
      </w:r>
      <w:r>
        <w:rPr>
          <w:rFonts w:cs="Times New Roman"/>
          <w:szCs w:val="24"/>
        </w:rPr>
        <w:tab/>
        <w:t>Loan for Overseas Employment</w:t>
      </w:r>
    </w:p>
    <w:p w14:paraId="034CA8B0" w14:textId="77777777" w:rsidR="00A06550" w:rsidRDefault="00A06550" w:rsidP="00A06550">
      <w:pPr>
        <w:rPr>
          <w:rFonts w:cs="Times New Roman"/>
          <w:szCs w:val="24"/>
        </w:rPr>
      </w:pPr>
      <w:r>
        <w:rPr>
          <w:rFonts w:cs="Times New Roman"/>
          <w:szCs w:val="24"/>
        </w:rPr>
        <w:t>•</w:t>
      </w:r>
      <w:r>
        <w:rPr>
          <w:rFonts w:cs="Times New Roman"/>
          <w:szCs w:val="24"/>
        </w:rPr>
        <w:tab/>
        <w:t>Weavers’ Credit</w:t>
      </w:r>
    </w:p>
    <w:p w14:paraId="2EF00709" w14:textId="77777777" w:rsidR="00A06550" w:rsidRDefault="00A06550" w:rsidP="00A06550">
      <w:pPr>
        <w:rPr>
          <w:rFonts w:cs="Times New Roman"/>
          <w:b/>
          <w:bCs/>
          <w:szCs w:val="24"/>
        </w:rPr>
      </w:pPr>
      <w:r>
        <w:rPr>
          <w:rFonts w:cs="Times New Roman"/>
          <w:b/>
          <w:bCs/>
          <w:szCs w:val="24"/>
        </w:rPr>
        <w:t>c)</w:t>
      </w:r>
      <w:r>
        <w:rPr>
          <w:rFonts w:cs="Times New Roman"/>
          <w:b/>
          <w:bCs/>
          <w:szCs w:val="24"/>
        </w:rPr>
        <w:tab/>
        <w:t xml:space="preserve">Rural &amp; </w:t>
      </w:r>
      <w:proofErr w:type="spellStart"/>
      <w:r>
        <w:rPr>
          <w:rFonts w:cs="Times New Roman"/>
          <w:b/>
          <w:bCs/>
          <w:szCs w:val="24"/>
        </w:rPr>
        <w:t>Agro</w:t>
      </w:r>
      <w:proofErr w:type="spellEnd"/>
      <w:r>
        <w:rPr>
          <w:rFonts w:cs="Times New Roman"/>
          <w:b/>
          <w:bCs/>
          <w:szCs w:val="24"/>
        </w:rPr>
        <w:t xml:space="preserve"> Credit</w:t>
      </w:r>
    </w:p>
    <w:p w14:paraId="494AA65C" w14:textId="77777777" w:rsidR="00A06550" w:rsidRDefault="00A06550" w:rsidP="00A06550">
      <w:pPr>
        <w:rPr>
          <w:rFonts w:cs="Times New Roman"/>
          <w:szCs w:val="24"/>
        </w:rPr>
      </w:pPr>
      <w:r>
        <w:rPr>
          <w:rFonts w:cs="Times New Roman"/>
          <w:szCs w:val="24"/>
        </w:rPr>
        <w:t>•</w:t>
      </w:r>
      <w:r>
        <w:rPr>
          <w:rFonts w:cs="Times New Roman"/>
          <w:szCs w:val="24"/>
        </w:rPr>
        <w:tab/>
        <w:t>Crop Loan</w:t>
      </w:r>
    </w:p>
    <w:p w14:paraId="4FDCE9D8" w14:textId="77777777" w:rsidR="00A06550" w:rsidRDefault="00A06550" w:rsidP="00A06550">
      <w:pPr>
        <w:rPr>
          <w:rFonts w:cs="Times New Roman"/>
          <w:szCs w:val="24"/>
        </w:rPr>
      </w:pPr>
      <w:r>
        <w:rPr>
          <w:rFonts w:cs="Times New Roman"/>
          <w:szCs w:val="24"/>
        </w:rPr>
        <w:t>•</w:t>
      </w:r>
      <w:r>
        <w:rPr>
          <w:rFonts w:cs="Times New Roman"/>
          <w:szCs w:val="24"/>
        </w:rPr>
        <w:tab/>
        <w:t>Fishery Loan</w:t>
      </w:r>
    </w:p>
    <w:p w14:paraId="6903D5D0" w14:textId="77777777" w:rsidR="00A06550" w:rsidRDefault="00A06550" w:rsidP="00A06550">
      <w:pPr>
        <w:rPr>
          <w:rFonts w:cs="Times New Roman"/>
          <w:szCs w:val="24"/>
        </w:rPr>
      </w:pPr>
      <w:r>
        <w:rPr>
          <w:rFonts w:cs="Times New Roman"/>
          <w:szCs w:val="24"/>
        </w:rPr>
        <w:t>•</w:t>
      </w:r>
      <w:r>
        <w:rPr>
          <w:rFonts w:cs="Times New Roman"/>
          <w:szCs w:val="24"/>
        </w:rPr>
        <w:tab/>
        <w:t>Animal Husbandry Loan</w:t>
      </w:r>
    </w:p>
    <w:p w14:paraId="532E7E4E" w14:textId="7246F047" w:rsidR="00A06550" w:rsidRDefault="00A06550" w:rsidP="00A06550">
      <w:pPr>
        <w:rPr>
          <w:rFonts w:cs="Times New Roman"/>
          <w:szCs w:val="24"/>
        </w:rPr>
      </w:pPr>
      <w:r>
        <w:rPr>
          <w:rFonts w:cs="Times New Roman"/>
          <w:szCs w:val="24"/>
        </w:rPr>
        <w:t>•</w:t>
      </w:r>
      <w:r>
        <w:rPr>
          <w:rFonts w:cs="Times New Roman"/>
          <w:szCs w:val="24"/>
        </w:rPr>
        <w:tab/>
        <w:t xml:space="preserve">Agri </w:t>
      </w:r>
      <w:r w:rsidR="008E40D4">
        <w:rPr>
          <w:rFonts w:cs="Times New Roman"/>
          <w:szCs w:val="24"/>
        </w:rPr>
        <w:t>Machinery</w:t>
      </w:r>
      <w:r>
        <w:rPr>
          <w:rFonts w:cs="Times New Roman"/>
          <w:szCs w:val="24"/>
        </w:rPr>
        <w:t xml:space="preserve"> Loan</w:t>
      </w:r>
    </w:p>
    <w:p w14:paraId="39B045D6" w14:textId="77777777" w:rsidR="00A06550" w:rsidRDefault="00A06550" w:rsidP="00A06550">
      <w:pPr>
        <w:rPr>
          <w:rFonts w:cs="Times New Roman"/>
          <w:szCs w:val="24"/>
        </w:rPr>
      </w:pPr>
      <w:r>
        <w:rPr>
          <w:rFonts w:cs="Times New Roman"/>
          <w:szCs w:val="24"/>
        </w:rPr>
        <w:t>•</w:t>
      </w:r>
      <w:r>
        <w:rPr>
          <w:rFonts w:cs="Times New Roman"/>
          <w:szCs w:val="24"/>
        </w:rPr>
        <w:tab/>
        <w:t>Rural Transport Loan</w:t>
      </w:r>
    </w:p>
    <w:p w14:paraId="3A73F1DE" w14:textId="77777777" w:rsidR="00A06550" w:rsidRDefault="00A06550" w:rsidP="00A06550">
      <w:pPr>
        <w:rPr>
          <w:rFonts w:cs="Times New Roman"/>
          <w:szCs w:val="24"/>
        </w:rPr>
      </w:pPr>
      <w:r>
        <w:rPr>
          <w:rFonts w:cs="Times New Roman"/>
          <w:szCs w:val="24"/>
        </w:rPr>
        <w:t>•</w:t>
      </w:r>
      <w:r>
        <w:rPr>
          <w:rFonts w:cs="Times New Roman"/>
          <w:szCs w:val="24"/>
        </w:rPr>
        <w:tab/>
        <w:t xml:space="preserve">Poverty Alleviation Loan </w:t>
      </w:r>
    </w:p>
    <w:p w14:paraId="0D12A44C" w14:textId="77777777" w:rsidR="00A06550" w:rsidRDefault="00A06550" w:rsidP="00A06550">
      <w:pPr>
        <w:spacing w:line="259" w:lineRule="auto"/>
        <w:jc w:val="left"/>
        <w:rPr>
          <w:rFonts w:cs="Times New Roman"/>
          <w:szCs w:val="24"/>
        </w:rPr>
      </w:pPr>
      <w:r>
        <w:rPr>
          <w:rFonts w:cs="Times New Roman"/>
          <w:b/>
          <w:bCs/>
          <w:szCs w:val="24"/>
        </w:rPr>
        <w:t>d)</w:t>
      </w:r>
      <w:r>
        <w:rPr>
          <w:rFonts w:cs="Times New Roman"/>
          <w:b/>
          <w:bCs/>
          <w:szCs w:val="24"/>
        </w:rPr>
        <w:tab/>
        <w:t>Small and Medium Enterprise Loan</w:t>
      </w:r>
    </w:p>
    <w:p w14:paraId="1F35B880" w14:textId="77777777" w:rsidR="00A06550" w:rsidRDefault="00A06550" w:rsidP="00A06550">
      <w:pPr>
        <w:rPr>
          <w:rFonts w:cs="Times New Roman"/>
          <w:szCs w:val="24"/>
        </w:rPr>
      </w:pPr>
      <w:r>
        <w:rPr>
          <w:rFonts w:cs="Times New Roman"/>
          <w:szCs w:val="24"/>
        </w:rPr>
        <w:t>•</w:t>
      </w:r>
      <w:r>
        <w:rPr>
          <w:rFonts w:cs="Times New Roman"/>
          <w:szCs w:val="24"/>
        </w:rPr>
        <w:tab/>
        <w:t>Service Sector Loan</w:t>
      </w:r>
    </w:p>
    <w:p w14:paraId="6AF3C583" w14:textId="77777777" w:rsidR="00A06550" w:rsidRDefault="00A06550" w:rsidP="00A06550">
      <w:pPr>
        <w:rPr>
          <w:rFonts w:cs="Times New Roman"/>
          <w:szCs w:val="24"/>
        </w:rPr>
      </w:pPr>
      <w:r>
        <w:rPr>
          <w:rFonts w:cs="Times New Roman"/>
          <w:szCs w:val="24"/>
        </w:rPr>
        <w:t>•</w:t>
      </w:r>
      <w:r>
        <w:rPr>
          <w:rFonts w:cs="Times New Roman"/>
          <w:szCs w:val="24"/>
        </w:rPr>
        <w:tab/>
        <w:t>Trading Sector Loan</w:t>
      </w:r>
    </w:p>
    <w:p w14:paraId="24ED2994" w14:textId="77777777" w:rsidR="00A06550" w:rsidRDefault="00A06550" w:rsidP="00A06550">
      <w:pPr>
        <w:rPr>
          <w:rFonts w:cs="Times New Roman"/>
          <w:szCs w:val="24"/>
        </w:rPr>
      </w:pPr>
      <w:r>
        <w:rPr>
          <w:rFonts w:cs="Times New Roman"/>
          <w:szCs w:val="24"/>
        </w:rPr>
        <w:t>•</w:t>
      </w:r>
      <w:r>
        <w:rPr>
          <w:rFonts w:cs="Times New Roman"/>
          <w:szCs w:val="24"/>
        </w:rPr>
        <w:tab/>
        <w:t>Manufacturing Sector Loan</w:t>
      </w:r>
    </w:p>
    <w:p w14:paraId="3960D753" w14:textId="77777777" w:rsidR="00A06550" w:rsidRDefault="00A06550" w:rsidP="00A06550">
      <w:pPr>
        <w:rPr>
          <w:rFonts w:cs="Times New Roman"/>
          <w:b/>
          <w:bCs/>
          <w:szCs w:val="24"/>
        </w:rPr>
      </w:pPr>
      <w:r>
        <w:rPr>
          <w:rFonts w:cs="Times New Roman"/>
          <w:b/>
          <w:bCs/>
          <w:szCs w:val="24"/>
        </w:rPr>
        <w:t>e)</w:t>
      </w:r>
      <w:r>
        <w:rPr>
          <w:rFonts w:cs="Times New Roman"/>
          <w:b/>
          <w:bCs/>
          <w:szCs w:val="24"/>
        </w:rPr>
        <w:tab/>
        <w:t>Import Finance</w:t>
      </w:r>
    </w:p>
    <w:p w14:paraId="53316CB5" w14:textId="77777777" w:rsidR="00A06550" w:rsidRDefault="00A06550" w:rsidP="00A06550">
      <w:pPr>
        <w:rPr>
          <w:rFonts w:cs="Times New Roman"/>
          <w:szCs w:val="24"/>
        </w:rPr>
      </w:pPr>
      <w:r>
        <w:rPr>
          <w:rFonts w:cs="Times New Roman"/>
          <w:szCs w:val="24"/>
        </w:rPr>
        <w:t>•</w:t>
      </w:r>
      <w:r>
        <w:rPr>
          <w:rFonts w:cs="Times New Roman"/>
          <w:szCs w:val="24"/>
        </w:rPr>
        <w:tab/>
        <w:t>Loan Against Imported Merchandise (LIM)</w:t>
      </w:r>
    </w:p>
    <w:p w14:paraId="2A2448A0" w14:textId="77777777" w:rsidR="00A06550" w:rsidRDefault="00A06550" w:rsidP="00A06550">
      <w:pPr>
        <w:rPr>
          <w:rFonts w:cs="Times New Roman"/>
          <w:szCs w:val="24"/>
        </w:rPr>
      </w:pPr>
      <w:r>
        <w:rPr>
          <w:rFonts w:cs="Times New Roman"/>
          <w:szCs w:val="24"/>
        </w:rPr>
        <w:t>•</w:t>
      </w:r>
      <w:r>
        <w:rPr>
          <w:rFonts w:cs="Times New Roman"/>
          <w:szCs w:val="24"/>
        </w:rPr>
        <w:tab/>
        <w:t>Loan Against Trust Receipt (LTR)</w:t>
      </w:r>
    </w:p>
    <w:p w14:paraId="4D02F90B" w14:textId="77777777" w:rsidR="00A06550" w:rsidRDefault="00A06550" w:rsidP="00A06550">
      <w:pPr>
        <w:rPr>
          <w:rFonts w:cs="Times New Roman"/>
          <w:szCs w:val="24"/>
        </w:rPr>
      </w:pPr>
      <w:r>
        <w:rPr>
          <w:rFonts w:cs="Times New Roman"/>
          <w:szCs w:val="24"/>
        </w:rPr>
        <w:t>•</w:t>
      </w:r>
      <w:r>
        <w:rPr>
          <w:rFonts w:cs="Times New Roman"/>
          <w:szCs w:val="24"/>
        </w:rPr>
        <w:tab/>
        <w:t>Payment Against Document (PAD)</w:t>
      </w:r>
    </w:p>
    <w:p w14:paraId="41D1E84E" w14:textId="0629BD97" w:rsidR="00095302" w:rsidRPr="000837AA" w:rsidRDefault="000837AA" w:rsidP="000837AA">
      <w:pPr>
        <w:pStyle w:val="Heading1"/>
        <w:jc w:val="center"/>
      </w:pPr>
      <w:bookmarkStart w:id="18" w:name="_Toc179034752"/>
      <w:r w:rsidRPr="000837AA">
        <w:lastRenderedPageBreak/>
        <w:t>3.P</w:t>
      </w:r>
      <w:r w:rsidR="008E40D4">
        <w:t xml:space="preserve">RODUCT </w:t>
      </w:r>
      <w:r w:rsidR="00AD27D4">
        <w:t>C</w:t>
      </w:r>
      <w:r w:rsidR="008E40D4">
        <w:t>ATEGORIES</w:t>
      </w:r>
      <w:bookmarkEnd w:id="18"/>
    </w:p>
    <w:p w14:paraId="19000D58" w14:textId="5004103D" w:rsidR="00445D09" w:rsidRDefault="00445D09" w:rsidP="00445D09">
      <w:pPr>
        <w:jc w:val="center"/>
        <w:rPr>
          <w:rFonts w:cs="Times New Roman"/>
          <w:szCs w:val="24"/>
        </w:rPr>
      </w:pPr>
    </w:p>
    <w:p w14:paraId="70F295C6" w14:textId="14AEBAFA" w:rsidR="00A83480" w:rsidRDefault="000837AA" w:rsidP="00AB46BA">
      <w:r>
        <w:rPr>
          <w:rFonts w:cs="Times New Roman"/>
          <w:noProof/>
          <w:szCs w:val="24"/>
        </w:rPr>
        <w:drawing>
          <wp:anchor distT="0" distB="0" distL="114300" distR="114300" simplePos="0" relativeHeight="251659264" behindDoc="0" locked="0" layoutInCell="1" allowOverlap="1" wp14:anchorId="3AD7D893" wp14:editId="0099D07F">
            <wp:simplePos x="0" y="0"/>
            <wp:positionH relativeFrom="column">
              <wp:posOffset>-387350</wp:posOffset>
            </wp:positionH>
            <wp:positionV relativeFrom="paragraph">
              <wp:posOffset>170180</wp:posOffset>
            </wp:positionV>
            <wp:extent cx="6432550" cy="4718050"/>
            <wp:effectExtent l="0" t="0" r="0" b="25400"/>
            <wp:wrapThrough wrapText="bothSides">
              <wp:wrapPolygon edited="0">
                <wp:start x="14329" y="0"/>
                <wp:lineTo x="14137" y="1395"/>
                <wp:lineTo x="9084" y="1483"/>
                <wp:lineTo x="8700" y="1570"/>
                <wp:lineTo x="8700" y="2791"/>
                <wp:lineTo x="7420" y="6977"/>
                <wp:lineTo x="3454" y="6977"/>
                <wp:lineTo x="3070" y="7064"/>
                <wp:lineTo x="3134" y="9855"/>
                <wp:lineTo x="7804" y="11251"/>
                <wp:lineTo x="8636" y="13954"/>
                <wp:lineTo x="8764" y="15437"/>
                <wp:lineTo x="13305" y="16832"/>
                <wp:lineTo x="14073" y="19536"/>
                <wp:lineTo x="14329" y="21629"/>
                <wp:lineTo x="18487" y="21629"/>
                <wp:lineTo x="18679" y="3140"/>
                <wp:lineTo x="18039" y="3052"/>
                <wp:lineTo x="18679" y="2704"/>
                <wp:lineTo x="18487" y="0"/>
                <wp:lineTo x="14329" y="0"/>
              </wp:wrapPolygon>
            </wp:wrapThrough>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2FE98F33" w14:textId="1A349532" w:rsidR="00A83480" w:rsidRDefault="00A83480">
      <w:pPr>
        <w:spacing w:line="259" w:lineRule="auto"/>
        <w:jc w:val="left"/>
      </w:pPr>
      <w:r>
        <w:br w:type="page"/>
      </w:r>
    </w:p>
    <w:p w14:paraId="5FB985FD" w14:textId="1CEA3BC8" w:rsidR="00A83480" w:rsidRDefault="00AD27D4" w:rsidP="00A83480">
      <w:pPr>
        <w:pStyle w:val="Heading2"/>
      </w:pPr>
      <w:bookmarkStart w:id="19" w:name="_Toc136889004"/>
      <w:bookmarkStart w:id="20" w:name="_Toc179034753"/>
      <w:r>
        <w:lastRenderedPageBreak/>
        <w:t>3.1</w:t>
      </w:r>
      <w:r w:rsidR="00A83480">
        <w:t xml:space="preserve"> Present ALM Status in ABL</w:t>
      </w:r>
      <w:bookmarkEnd w:id="19"/>
      <w:bookmarkEnd w:id="20"/>
    </w:p>
    <w:p w14:paraId="6B561306" w14:textId="77777777" w:rsidR="00A83480" w:rsidRDefault="00A83480" w:rsidP="00A83480">
      <w:pPr>
        <w:rPr>
          <w:rFonts w:cs="Times New Roman"/>
          <w:b/>
          <w:bCs/>
          <w:szCs w:val="24"/>
        </w:rPr>
      </w:pPr>
      <w:r>
        <w:rPr>
          <w:b/>
          <w:bCs/>
        </w:rPr>
        <w:t>Maturity Analysis</w:t>
      </w:r>
    </w:p>
    <w:p w14:paraId="6024BE65" w14:textId="0A5AEF53" w:rsidR="00A83480" w:rsidRDefault="00A83480" w:rsidP="00A83480">
      <w:r>
        <w:t>Agrani Banks’ liquidity policy is to carry an affirmative difference in the total assets and total liabilities in the 1 to 30 days range. The liquidity stayed at maximal levels during the year. The liquid assets ratio was kept at 9.06% in December 2021. The ALCO committee of the bank observes the overall situation and sustains an optimal trade-off between liquidity and profitability.</w:t>
      </w:r>
    </w:p>
    <w:p w14:paraId="5D9BEFBC" w14:textId="77777777" w:rsidR="008E40D4" w:rsidRDefault="008E40D4" w:rsidP="00A83480"/>
    <w:p w14:paraId="7CA91436" w14:textId="77777777" w:rsidR="00A83480" w:rsidRDefault="00A83480" w:rsidP="00A83480">
      <w:pPr>
        <w:jc w:val="center"/>
        <w:rPr>
          <w:rFonts w:cs="Times New Roman"/>
          <w:b/>
          <w:bCs/>
          <w:szCs w:val="24"/>
        </w:rPr>
      </w:pPr>
      <w:r>
        <w:rPr>
          <w:b/>
          <w:bCs/>
        </w:rPr>
        <w:t>Table 1: Maturity Analysis</w:t>
      </w:r>
    </w:p>
    <w:tbl>
      <w:tblPr>
        <w:tblStyle w:val="TableGrid"/>
        <w:tblW w:w="9265" w:type="dxa"/>
        <w:tblLayout w:type="fixed"/>
        <w:tblLook w:val="04A0" w:firstRow="1" w:lastRow="0" w:firstColumn="1" w:lastColumn="0" w:noHBand="0" w:noVBand="1"/>
      </w:tblPr>
      <w:tblGrid>
        <w:gridCol w:w="1615"/>
        <w:gridCol w:w="1260"/>
        <w:gridCol w:w="1350"/>
        <w:gridCol w:w="1350"/>
        <w:gridCol w:w="1350"/>
        <w:gridCol w:w="1350"/>
        <w:gridCol w:w="990"/>
      </w:tblGrid>
      <w:tr w:rsidR="00F81C70" w14:paraId="7BF3B775" w14:textId="77777777" w:rsidTr="00E75F25">
        <w:tc>
          <w:tcPr>
            <w:tcW w:w="1615" w:type="dxa"/>
            <w:vAlign w:val="center"/>
          </w:tcPr>
          <w:p w14:paraId="7D794E8E" w14:textId="65C684C8" w:rsidR="00F81C70" w:rsidRDefault="00F81C70" w:rsidP="00F81C70">
            <w:pPr>
              <w:rPr>
                <w:rFonts w:cs="Times New Roman"/>
                <w:sz w:val="18"/>
                <w:szCs w:val="18"/>
              </w:rPr>
            </w:pPr>
            <w:r>
              <w:rPr>
                <w:color w:val="000000"/>
                <w:sz w:val="18"/>
                <w:szCs w:val="18"/>
              </w:rPr>
              <w:t> </w:t>
            </w:r>
          </w:p>
        </w:tc>
        <w:tc>
          <w:tcPr>
            <w:tcW w:w="1260" w:type="dxa"/>
            <w:vAlign w:val="center"/>
          </w:tcPr>
          <w:p w14:paraId="31C79001" w14:textId="4E41ED39" w:rsidR="00F81C70" w:rsidRPr="000040A7" w:rsidRDefault="00F81C70" w:rsidP="00F81C70">
            <w:pPr>
              <w:rPr>
                <w:rFonts w:cs="Times New Roman"/>
                <w:b/>
                <w:bCs/>
                <w:sz w:val="18"/>
                <w:szCs w:val="18"/>
              </w:rPr>
            </w:pPr>
            <w:r w:rsidRPr="000040A7">
              <w:rPr>
                <w:b/>
                <w:bCs/>
                <w:color w:val="000000"/>
                <w:sz w:val="18"/>
                <w:szCs w:val="18"/>
              </w:rPr>
              <w:t>Up to 1 Month</w:t>
            </w:r>
          </w:p>
        </w:tc>
        <w:tc>
          <w:tcPr>
            <w:tcW w:w="1350" w:type="dxa"/>
            <w:vAlign w:val="center"/>
          </w:tcPr>
          <w:p w14:paraId="4FEC37ED" w14:textId="115B3FF0" w:rsidR="00F81C70" w:rsidRPr="000040A7" w:rsidRDefault="00F81C70" w:rsidP="00F81C70">
            <w:pPr>
              <w:rPr>
                <w:rFonts w:cs="Times New Roman"/>
                <w:b/>
                <w:bCs/>
                <w:sz w:val="18"/>
                <w:szCs w:val="18"/>
              </w:rPr>
            </w:pPr>
            <w:r w:rsidRPr="000040A7">
              <w:rPr>
                <w:b/>
                <w:bCs/>
                <w:color w:val="000000"/>
                <w:sz w:val="18"/>
                <w:szCs w:val="18"/>
              </w:rPr>
              <w:t>1-3 Month</w:t>
            </w:r>
          </w:p>
        </w:tc>
        <w:tc>
          <w:tcPr>
            <w:tcW w:w="1350" w:type="dxa"/>
            <w:vAlign w:val="center"/>
          </w:tcPr>
          <w:p w14:paraId="342A5677" w14:textId="347F6133" w:rsidR="00F81C70" w:rsidRPr="000040A7" w:rsidRDefault="00F81C70" w:rsidP="00F81C70">
            <w:pPr>
              <w:rPr>
                <w:rFonts w:cs="Times New Roman"/>
                <w:b/>
                <w:bCs/>
                <w:sz w:val="18"/>
                <w:szCs w:val="18"/>
              </w:rPr>
            </w:pPr>
            <w:r w:rsidRPr="000040A7">
              <w:rPr>
                <w:b/>
                <w:bCs/>
                <w:color w:val="000000"/>
                <w:sz w:val="18"/>
                <w:szCs w:val="18"/>
              </w:rPr>
              <w:t>3-12 Month</w:t>
            </w:r>
          </w:p>
        </w:tc>
        <w:tc>
          <w:tcPr>
            <w:tcW w:w="1350" w:type="dxa"/>
            <w:vAlign w:val="center"/>
          </w:tcPr>
          <w:p w14:paraId="5743E520" w14:textId="19E184DD" w:rsidR="00F81C70" w:rsidRPr="000040A7" w:rsidRDefault="00F81C70" w:rsidP="00F81C70">
            <w:pPr>
              <w:rPr>
                <w:rFonts w:cs="Times New Roman"/>
                <w:b/>
                <w:bCs/>
                <w:sz w:val="18"/>
                <w:szCs w:val="18"/>
              </w:rPr>
            </w:pPr>
            <w:r w:rsidRPr="000040A7">
              <w:rPr>
                <w:b/>
                <w:bCs/>
                <w:color w:val="000000"/>
                <w:sz w:val="18"/>
                <w:szCs w:val="18"/>
              </w:rPr>
              <w:t>1-5 Years</w:t>
            </w:r>
          </w:p>
        </w:tc>
        <w:tc>
          <w:tcPr>
            <w:tcW w:w="1350" w:type="dxa"/>
            <w:vAlign w:val="center"/>
          </w:tcPr>
          <w:p w14:paraId="62B9EAEB" w14:textId="15ACCC41" w:rsidR="00F81C70" w:rsidRPr="000040A7" w:rsidRDefault="00F81C70" w:rsidP="00F81C70">
            <w:pPr>
              <w:rPr>
                <w:rFonts w:cs="Times New Roman"/>
                <w:b/>
                <w:bCs/>
                <w:sz w:val="18"/>
                <w:szCs w:val="18"/>
              </w:rPr>
            </w:pPr>
            <w:r w:rsidRPr="000040A7">
              <w:rPr>
                <w:b/>
                <w:bCs/>
                <w:color w:val="000000"/>
                <w:sz w:val="18"/>
                <w:szCs w:val="18"/>
              </w:rPr>
              <w:t>More than 5 Years</w:t>
            </w:r>
          </w:p>
        </w:tc>
        <w:tc>
          <w:tcPr>
            <w:tcW w:w="990" w:type="dxa"/>
            <w:vAlign w:val="center"/>
          </w:tcPr>
          <w:p w14:paraId="11762199" w14:textId="14116857" w:rsidR="00F81C70" w:rsidRPr="000040A7" w:rsidRDefault="00F81C70" w:rsidP="00F81C70">
            <w:pPr>
              <w:rPr>
                <w:rFonts w:cs="Times New Roman"/>
                <w:b/>
                <w:bCs/>
                <w:sz w:val="18"/>
                <w:szCs w:val="18"/>
              </w:rPr>
            </w:pPr>
            <w:r w:rsidRPr="000040A7">
              <w:rPr>
                <w:b/>
                <w:bCs/>
                <w:color w:val="000000"/>
                <w:sz w:val="18"/>
                <w:szCs w:val="18"/>
              </w:rPr>
              <w:t>Total</w:t>
            </w:r>
          </w:p>
        </w:tc>
      </w:tr>
      <w:tr w:rsidR="00F81C70" w14:paraId="753A31AD" w14:textId="77777777" w:rsidTr="00E75F25">
        <w:tc>
          <w:tcPr>
            <w:tcW w:w="1615" w:type="dxa"/>
            <w:vAlign w:val="center"/>
          </w:tcPr>
          <w:p w14:paraId="4FD1EB47" w14:textId="77C5157D" w:rsidR="00F81C70" w:rsidRDefault="00F81C70" w:rsidP="00F81C70">
            <w:pPr>
              <w:jc w:val="left"/>
              <w:rPr>
                <w:rFonts w:cs="Times New Roman"/>
                <w:sz w:val="18"/>
                <w:szCs w:val="18"/>
              </w:rPr>
            </w:pPr>
            <w:r>
              <w:rPr>
                <w:color w:val="000000"/>
                <w:sz w:val="18"/>
                <w:szCs w:val="18"/>
              </w:rPr>
              <w:t>Total Current Assets</w:t>
            </w:r>
          </w:p>
        </w:tc>
        <w:tc>
          <w:tcPr>
            <w:tcW w:w="1260" w:type="dxa"/>
            <w:vAlign w:val="center"/>
          </w:tcPr>
          <w:p w14:paraId="433BF2A9" w14:textId="605B4867" w:rsidR="00F81C70" w:rsidRDefault="00F81C70" w:rsidP="00F81C70">
            <w:pPr>
              <w:jc w:val="center"/>
              <w:rPr>
                <w:rFonts w:cs="Times New Roman"/>
                <w:sz w:val="16"/>
                <w:szCs w:val="16"/>
              </w:rPr>
            </w:pPr>
            <w:r>
              <w:rPr>
                <w:color w:val="000000"/>
                <w:sz w:val="16"/>
                <w:szCs w:val="16"/>
              </w:rPr>
              <w:t>59,168,521,319</w:t>
            </w:r>
          </w:p>
        </w:tc>
        <w:tc>
          <w:tcPr>
            <w:tcW w:w="1350" w:type="dxa"/>
            <w:vAlign w:val="center"/>
          </w:tcPr>
          <w:p w14:paraId="6DD91E80" w14:textId="6C0C56E1" w:rsidR="00F81C70" w:rsidRDefault="00F81C70" w:rsidP="00F81C70">
            <w:pPr>
              <w:jc w:val="center"/>
              <w:rPr>
                <w:rFonts w:cs="Times New Roman"/>
                <w:sz w:val="16"/>
                <w:szCs w:val="16"/>
              </w:rPr>
            </w:pPr>
            <w:r>
              <w:rPr>
                <w:color w:val="000000"/>
                <w:sz w:val="16"/>
                <w:szCs w:val="16"/>
              </w:rPr>
              <w:t>142,757,852,708</w:t>
            </w:r>
          </w:p>
        </w:tc>
        <w:tc>
          <w:tcPr>
            <w:tcW w:w="1350" w:type="dxa"/>
            <w:vAlign w:val="center"/>
          </w:tcPr>
          <w:p w14:paraId="3D73FDED" w14:textId="00FA8458" w:rsidR="00F81C70" w:rsidRDefault="00F81C70" w:rsidP="00F81C70">
            <w:pPr>
              <w:jc w:val="center"/>
              <w:rPr>
                <w:rFonts w:cs="Times New Roman"/>
                <w:sz w:val="16"/>
                <w:szCs w:val="16"/>
              </w:rPr>
            </w:pPr>
            <w:r>
              <w:rPr>
                <w:color w:val="000000"/>
                <w:sz w:val="16"/>
                <w:szCs w:val="16"/>
              </w:rPr>
              <w:t>266,778,882,555</w:t>
            </w:r>
          </w:p>
        </w:tc>
        <w:tc>
          <w:tcPr>
            <w:tcW w:w="1350" w:type="dxa"/>
            <w:vAlign w:val="center"/>
          </w:tcPr>
          <w:p w14:paraId="25E13674" w14:textId="00F80F99" w:rsidR="00F81C70" w:rsidRDefault="00F81C70" w:rsidP="00F81C70">
            <w:pPr>
              <w:jc w:val="center"/>
              <w:rPr>
                <w:rFonts w:cs="Times New Roman"/>
                <w:sz w:val="16"/>
                <w:szCs w:val="16"/>
              </w:rPr>
            </w:pPr>
            <w:r>
              <w:rPr>
                <w:color w:val="000000"/>
                <w:sz w:val="16"/>
                <w:szCs w:val="16"/>
              </w:rPr>
              <w:t>322,581,505,970</w:t>
            </w:r>
          </w:p>
        </w:tc>
        <w:tc>
          <w:tcPr>
            <w:tcW w:w="1350" w:type="dxa"/>
            <w:vAlign w:val="center"/>
          </w:tcPr>
          <w:p w14:paraId="4BF2D350" w14:textId="575189F9" w:rsidR="00F81C70" w:rsidRDefault="00F81C70" w:rsidP="00F81C70">
            <w:pPr>
              <w:jc w:val="center"/>
              <w:rPr>
                <w:rFonts w:cs="Times New Roman"/>
                <w:sz w:val="16"/>
                <w:szCs w:val="16"/>
              </w:rPr>
            </w:pPr>
            <w:r>
              <w:rPr>
                <w:color w:val="000000"/>
                <w:sz w:val="16"/>
                <w:szCs w:val="16"/>
              </w:rPr>
              <w:t>388,104,090,932</w:t>
            </w:r>
          </w:p>
        </w:tc>
        <w:tc>
          <w:tcPr>
            <w:tcW w:w="990" w:type="dxa"/>
            <w:vAlign w:val="center"/>
          </w:tcPr>
          <w:p w14:paraId="3DA16F5E" w14:textId="65A8D470" w:rsidR="00F81C70" w:rsidRDefault="00F81C70" w:rsidP="00F81C70">
            <w:pPr>
              <w:jc w:val="center"/>
              <w:rPr>
                <w:rFonts w:cs="Times New Roman"/>
                <w:sz w:val="16"/>
                <w:szCs w:val="16"/>
              </w:rPr>
            </w:pPr>
            <w:r>
              <w:rPr>
                <w:color w:val="000000"/>
                <w:sz w:val="16"/>
                <w:szCs w:val="16"/>
              </w:rPr>
              <w:t>1,179,390,853,484</w:t>
            </w:r>
          </w:p>
        </w:tc>
      </w:tr>
      <w:tr w:rsidR="00F81C70" w14:paraId="3C6AC265" w14:textId="77777777" w:rsidTr="00E75F25">
        <w:tc>
          <w:tcPr>
            <w:tcW w:w="1615" w:type="dxa"/>
            <w:vAlign w:val="center"/>
          </w:tcPr>
          <w:p w14:paraId="5490B375" w14:textId="7D81D505" w:rsidR="00F81C70" w:rsidRDefault="00F81C70" w:rsidP="00F81C70">
            <w:pPr>
              <w:jc w:val="left"/>
              <w:rPr>
                <w:rFonts w:cs="Times New Roman"/>
                <w:sz w:val="18"/>
                <w:szCs w:val="18"/>
              </w:rPr>
            </w:pPr>
            <w:r>
              <w:rPr>
                <w:color w:val="000000"/>
                <w:sz w:val="18"/>
                <w:szCs w:val="18"/>
              </w:rPr>
              <w:t>Fixed Assets</w:t>
            </w:r>
          </w:p>
        </w:tc>
        <w:tc>
          <w:tcPr>
            <w:tcW w:w="1260" w:type="dxa"/>
            <w:vAlign w:val="center"/>
          </w:tcPr>
          <w:p w14:paraId="4E4161D9" w14:textId="4B3EBD3C" w:rsidR="00F81C70" w:rsidRDefault="00F81C70" w:rsidP="00F81C70">
            <w:pPr>
              <w:jc w:val="center"/>
              <w:rPr>
                <w:rFonts w:cs="Times New Roman"/>
                <w:sz w:val="16"/>
                <w:szCs w:val="16"/>
              </w:rPr>
            </w:pPr>
            <w:r>
              <w:rPr>
                <w:color w:val="000000"/>
                <w:sz w:val="16"/>
                <w:szCs w:val="16"/>
              </w:rPr>
              <w:t>-</w:t>
            </w:r>
          </w:p>
        </w:tc>
        <w:tc>
          <w:tcPr>
            <w:tcW w:w="1350" w:type="dxa"/>
            <w:vAlign w:val="center"/>
          </w:tcPr>
          <w:p w14:paraId="3D53B393" w14:textId="17820DA2" w:rsidR="00F81C70" w:rsidRDefault="00F81C70" w:rsidP="00F81C70">
            <w:pPr>
              <w:jc w:val="center"/>
              <w:rPr>
                <w:rFonts w:cs="Times New Roman"/>
                <w:sz w:val="16"/>
                <w:szCs w:val="16"/>
              </w:rPr>
            </w:pPr>
            <w:r>
              <w:rPr>
                <w:color w:val="000000"/>
                <w:sz w:val="16"/>
                <w:szCs w:val="16"/>
              </w:rPr>
              <w:t>-</w:t>
            </w:r>
          </w:p>
        </w:tc>
        <w:tc>
          <w:tcPr>
            <w:tcW w:w="1350" w:type="dxa"/>
            <w:vAlign w:val="center"/>
          </w:tcPr>
          <w:p w14:paraId="4F1CDDE7" w14:textId="21B25FAC" w:rsidR="00F81C70" w:rsidRDefault="00F81C70" w:rsidP="00F81C70">
            <w:pPr>
              <w:jc w:val="center"/>
              <w:rPr>
                <w:rFonts w:cs="Times New Roman"/>
                <w:sz w:val="16"/>
                <w:szCs w:val="16"/>
              </w:rPr>
            </w:pPr>
            <w:r>
              <w:rPr>
                <w:color w:val="000000"/>
                <w:sz w:val="16"/>
                <w:szCs w:val="16"/>
              </w:rPr>
              <w:t>-</w:t>
            </w:r>
          </w:p>
        </w:tc>
        <w:tc>
          <w:tcPr>
            <w:tcW w:w="1350" w:type="dxa"/>
            <w:vAlign w:val="center"/>
          </w:tcPr>
          <w:p w14:paraId="2179B60B" w14:textId="530D00DB" w:rsidR="00F81C70" w:rsidRDefault="00F81C70" w:rsidP="00F81C70">
            <w:pPr>
              <w:jc w:val="center"/>
              <w:rPr>
                <w:rFonts w:cs="Times New Roman"/>
                <w:sz w:val="16"/>
                <w:szCs w:val="16"/>
              </w:rPr>
            </w:pPr>
            <w:r>
              <w:rPr>
                <w:color w:val="000000"/>
                <w:sz w:val="16"/>
                <w:szCs w:val="16"/>
              </w:rPr>
              <w:t> </w:t>
            </w:r>
          </w:p>
        </w:tc>
        <w:tc>
          <w:tcPr>
            <w:tcW w:w="1350" w:type="dxa"/>
            <w:vAlign w:val="center"/>
          </w:tcPr>
          <w:p w14:paraId="554996A4" w14:textId="11A04A57" w:rsidR="00F81C70" w:rsidRDefault="00F81C70" w:rsidP="00F81C70">
            <w:pPr>
              <w:jc w:val="center"/>
              <w:rPr>
                <w:rFonts w:cs="Times New Roman"/>
                <w:sz w:val="16"/>
                <w:szCs w:val="16"/>
              </w:rPr>
            </w:pPr>
            <w:r>
              <w:rPr>
                <w:color w:val="000000"/>
                <w:sz w:val="16"/>
                <w:szCs w:val="16"/>
              </w:rPr>
              <w:t>15,617,824,744</w:t>
            </w:r>
          </w:p>
        </w:tc>
        <w:tc>
          <w:tcPr>
            <w:tcW w:w="990" w:type="dxa"/>
            <w:vAlign w:val="center"/>
          </w:tcPr>
          <w:p w14:paraId="0324F8D5" w14:textId="2A218CB9" w:rsidR="00F81C70" w:rsidRDefault="00F81C70" w:rsidP="00F81C70">
            <w:pPr>
              <w:jc w:val="center"/>
              <w:rPr>
                <w:rFonts w:cs="Times New Roman"/>
                <w:sz w:val="16"/>
                <w:szCs w:val="16"/>
              </w:rPr>
            </w:pPr>
            <w:r>
              <w:rPr>
                <w:color w:val="000000"/>
                <w:sz w:val="16"/>
                <w:szCs w:val="16"/>
              </w:rPr>
              <w:t>15,617,824,744</w:t>
            </w:r>
          </w:p>
        </w:tc>
      </w:tr>
      <w:tr w:rsidR="00F81C70" w14:paraId="3E9EA254" w14:textId="77777777" w:rsidTr="00E75F25">
        <w:tc>
          <w:tcPr>
            <w:tcW w:w="1615" w:type="dxa"/>
            <w:vAlign w:val="center"/>
          </w:tcPr>
          <w:p w14:paraId="66B06D51" w14:textId="49A4A44D" w:rsidR="00F81C70" w:rsidRDefault="00F81C70" w:rsidP="00F81C70">
            <w:pPr>
              <w:jc w:val="left"/>
              <w:rPr>
                <w:rFonts w:cs="Times New Roman"/>
                <w:b/>
                <w:bCs/>
                <w:sz w:val="18"/>
                <w:szCs w:val="18"/>
              </w:rPr>
            </w:pPr>
            <w:r>
              <w:rPr>
                <w:b/>
                <w:bCs/>
                <w:color w:val="000000"/>
                <w:sz w:val="18"/>
                <w:szCs w:val="18"/>
              </w:rPr>
              <w:t>Total Assets</w:t>
            </w:r>
          </w:p>
        </w:tc>
        <w:tc>
          <w:tcPr>
            <w:tcW w:w="1260" w:type="dxa"/>
            <w:vAlign w:val="center"/>
          </w:tcPr>
          <w:p w14:paraId="195E97FE" w14:textId="4D0A189F" w:rsidR="00F81C70" w:rsidRDefault="00F81C70" w:rsidP="00F81C70">
            <w:pPr>
              <w:jc w:val="center"/>
              <w:rPr>
                <w:rFonts w:cs="Times New Roman"/>
                <w:sz w:val="16"/>
                <w:szCs w:val="16"/>
              </w:rPr>
            </w:pPr>
            <w:r>
              <w:rPr>
                <w:color w:val="000000"/>
                <w:sz w:val="16"/>
                <w:szCs w:val="16"/>
              </w:rPr>
              <w:t>59,168,521,319</w:t>
            </w:r>
          </w:p>
        </w:tc>
        <w:tc>
          <w:tcPr>
            <w:tcW w:w="1350" w:type="dxa"/>
            <w:vAlign w:val="center"/>
          </w:tcPr>
          <w:p w14:paraId="5CF99D66" w14:textId="4392A20E" w:rsidR="00F81C70" w:rsidRDefault="00F81C70" w:rsidP="00F81C70">
            <w:pPr>
              <w:jc w:val="center"/>
              <w:rPr>
                <w:rFonts w:cs="Times New Roman"/>
                <w:sz w:val="16"/>
                <w:szCs w:val="16"/>
              </w:rPr>
            </w:pPr>
            <w:r>
              <w:rPr>
                <w:color w:val="000000"/>
                <w:sz w:val="16"/>
                <w:szCs w:val="16"/>
              </w:rPr>
              <w:t>142,757,852,708</w:t>
            </w:r>
          </w:p>
        </w:tc>
        <w:tc>
          <w:tcPr>
            <w:tcW w:w="1350" w:type="dxa"/>
            <w:vAlign w:val="center"/>
          </w:tcPr>
          <w:p w14:paraId="6F183FBF" w14:textId="54BE57D9" w:rsidR="00F81C70" w:rsidRDefault="00F81C70" w:rsidP="00F81C70">
            <w:pPr>
              <w:jc w:val="center"/>
              <w:rPr>
                <w:rFonts w:cs="Times New Roman"/>
                <w:sz w:val="16"/>
                <w:szCs w:val="16"/>
              </w:rPr>
            </w:pPr>
            <w:r>
              <w:rPr>
                <w:color w:val="000000"/>
                <w:sz w:val="16"/>
                <w:szCs w:val="16"/>
              </w:rPr>
              <w:t>266,778,882,555</w:t>
            </w:r>
          </w:p>
        </w:tc>
        <w:tc>
          <w:tcPr>
            <w:tcW w:w="1350" w:type="dxa"/>
            <w:vAlign w:val="center"/>
          </w:tcPr>
          <w:p w14:paraId="10527F98" w14:textId="2F7C8A92" w:rsidR="00F81C70" w:rsidRDefault="00F81C70" w:rsidP="00F81C70">
            <w:pPr>
              <w:jc w:val="center"/>
              <w:rPr>
                <w:rFonts w:cs="Times New Roman"/>
                <w:sz w:val="16"/>
                <w:szCs w:val="16"/>
              </w:rPr>
            </w:pPr>
            <w:r>
              <w:rPr>
                <w:color w:val="000000"/>
                <w:sz w:val="16"/>
                <w:szCs w:val="16"/>
              </w:rPr>
              <w:t>322,581,505,970</w:t>
            </w:r>
          </w:p>
        </w:tc>
        <w:tc>
          <w:tcPr>
            <w:tcW w:w="1350" w:type="dxa"/>
            <w:vAlign w:val="center"/>
          </w:tcPr>
          <w:p w14:paraId="47F5B1C6" w14:textId="4E26C004" w:rsidR="00F81C70" w:rsidRDefault="00F81C70" w:rsidP="00F81C70">
            <w:pPr>
              <w:jc w:val="center"/>
              <w:rPr>
                <w:rFonts w:cs="Times New Roman"/>
                <w:sz w:val="16"/>
                <w:szCs w:val="16"/>
              </w:rPr>
            </w:pPr>
            <w:r>
              <w:rPr>
                <w:color w:val="000000"/>
                <w:sz w:val="16"/>
                <w:szCs w:val="16"/>
              </w:rPr>
              <w:t>403,721,915,676</w:t>
            </w:r>
          </w:p>
        </w:tc>
        <w:tc>
          <w:tcPr>
            <w:tcW w:w="990" w:type="dxa"/>
            <w:vAlign w:val="center"/>
          </w:tcPr>
          <w:p w14:paraId="37B1E4AD" w14:textId="250EA35F" w:rsidR="00F81C70" w:rsidRDefault="00F81C70" w:rsidP="00F81C70">
            <w:pPr>
              <w:jc w:val="center"/>
              <w:rPr>
                <w:rFonts w:cs="Times New Roman"/>
                <w:sz w:val="16"/>
                <w:szCs w:val="16"/>
              </w:rPr>
            </w:pPr>
            <w:r>
              <w:rPr>
                <w:color w:val="000000"/>
                <w:sz w:val="16"/>
                <w:szCs w:val="16"/>
              </w:rPr>
              <w:t>1,195,008,678,228</w:t>
            </w:r>
          </w:p>
        </w:tc>
      </w:tr>
      <w:tr w:rsidR="00F81C70" w14:paraId="6E84FC5C" w14:textId="77777777" w:rsidTr="00E75F25">
        <w:tc>
          <w:tcPr>
            <w:tcW w:w="1615" w:type="dxa"/>
            <w:vAlign w:val="center"/>
          </w:tcPr>
          <w:p w14:paraId="66C6566B" w14:textId="78363EF9" w:rsidR="00F81C70" w:rsidRDefault="00F81C70" w:rsidP="00F81C70">
            <w:pPr>
              <w:jc w:val="left"/>
              <w:rPr>
                <w:rFonts w:cs="Times New Roman"/>
                <w:sz w:val="18"/>
                <w:szCs w:val="18"/>
              </w:rPr>
            </w:pPr>
            <w:r>
              <w:rPr>
                <w:color w:val="000000"/>
                <w:sz w:val="18"/>
                <w:szCs w:val="18"/>
              </w:rPr>
              <w:t>Total Short-term liabilities</w:t>
            </w:r>
          </w:p>
        </w:tc>
        <w:tc>
          <w:tcPr>
            <w:tcW w:w="1260" w:type="dxa"/>
            <w:vAlign w:val="center"/>
          </w:tcPr>
          <w:p w14:paraId="61EE21E8" w14:textId="25B2573F" w:rsidR="00F81C70" w:rsidRDefault="00F81C70" w:rsidP="00F81C70">
            <w:pPr>
              <w:jc w:val="center"/>
              <w:rPr>
                <w:rFonts w:cs="Times New Roman"/>
                <w:sz w:val="16"/>
                <w:szCs w:val="16"/>
              </w:rPr>
            </w:pPr>
            <w:r>
              <w:rPr>
                <w:color w:val="000000"/>
                <w:sz w:val="16"/>
                <w:szCs w:val="16"/>
              </w:rPr>
              <w:t>53,305,034,418</w:t>
            </w:r>
          </w:p>
        </w:tc>
        <w:tc>
          <w:tcPr>
            <w:tcW w:w="1350" w:type="dxa"/>
            <w:vAlign w:val="center"/>
          </w:tcPr>
          <w:p w14:paraId="0797B5B9" w14:textId="6965B172" w:rsidR="00F81C70" w:rsidRDefault="00F81C70" w:rsidP="00F81C70">
            <w:pPr>
              <w:jc w:val="center"/>
              <w:rPr>
                <w:rFonts w:cs="Times New Roman"/>
                <w:sz w:val="16"/>
                <w:szCs w:val="16"/>
              </w:rPr>
            </w:pPr>
            <w:r>
              <w:rPr>
                <w:color w:val="000000"/>
                <w:sz w:val="16"/>
                <w:szCs w:val="16"/>
              </w:rPr>
              <w:t>36,527,964,396</w:t>
            </w:r>
          </w:p>
        </w:tc>
        <w:tc>
          <w:tcPr>
            <w:tcW w:w="1350" w:type="dxa"/>
            <w:vAlign w:val="center"/>
          </w:tcPr>
          <w:p w14:paraId="62233805" w14:textId="4B17AE39" w:rsidR="00F81C70" w:rsidRDefault="00F81C70" w:rsidP="00F81C70">
            <w:pPr>
              <w:jc w:val="center"/>
              <w:rPr>
                <w:rFonts w:cs="Times New Roman"/>
                <w:sz w:val="16"/>
                <w:szCs w:val="16"/>
              </w:rPr>
            </w:pPr>
            <w:r>
              <w:rPr>
                <w:color w:val="000000"/>
                <w:sz w:val="16"/>
                <w:szCs w:val="16"/>
              </w:rPr>
              <w:t>261,746,511,844</w:t>
            </w:r>
          </w:p>
        </w:tc>
        <w:tc>
          <w:tcPr>
            <w:tcW w:w="1350" w:type="dxa"/>
            <w:vAlign w:val="center"/>
          </w:tcPr>
          <w:p w14:paraId="7C291265" w14:textId="629BB538" w:rsidR="00F81C70" w:rsidRDefault="00F81C70" w:rsidP="00F81C70">
            <w:pPr>
              <w:jc w:val="center"/>
              <w:rPr>
                <w:rFonts w:cs="Times New Roman"/>
                <w:sz w:val="16"/>
                <w:szCs w:val="16"/>
              </w:rPr>
            </w:pPr>
            <w:r>
              <w:rPr>
                <w:color w:val="000000"/>
                <w:sz w:val="16"/>
                <w:szCs w:val="16"/>
              </w:rPr>
              <w:t>313,953,292,773</w:t>
            </w:r>
          </w:p>
        </w:tc>
        <w:tc>
          <w:tcPr>
            <w:tcW w:w="1350" w:type="dxa"/>
            <w:vAlign w:val="center"/>
          </w:tcPr>
          <w:p w14:paraId="4EB3B330" w14:textId="06572EF0" w:rsidR="00F81C70" w:rsidRDefault="00F81C70" w:rsidP="00F81C70">
            <w:pPr>
              <w:jc w:val="center"/>
              <w:rPr>
                <w:rFonts w:cs="Times New Roman"/>
                <w:sz w:val="16"/>
                <w:szCs w:val="16"/>
              </w:rPr>
            </w:pPr>
            <w:r>
              <w:rPr>
                <w:color w:val="000000"/>
                <w:sz w:val="16"/>
                <w:szCs w:val="16"/>
              </w:rPr>
              <w:t>264,406,987,353</w:t>
            </w:r>
          </w:p>
        </w:tc>
        <w:tc>
          <w:tcPr>
            <w:tcW w:w="990" w:type="dxa"/>
            <w:vAlign w:val="center"/>
          </w:tcPr>
          <w:p w14:paraId="5EEE1413" w14:textId="5E9BA9E0" w:rsidR="00F81C70" w:rsidRDefault="00F81C70" w:rsidP="00F81C70">
            <w:pPr>
              <w:jc w:val="center"/>
              <w:rPr>
                <w:rFonts w:cs="Times New Roman"/>
                <w:sz w:val="16"/>
                <w:szCs w:val="16"/>
              </w:rPr>
            </w:pPr>
            <w:r>
              <w:rPr>
                <w:color w:val="000000"/>
                <w:sz w:val="16"/>
                <w:szCs w:val="16"/>
              </w:rPr>
              <w:t>1,029,939,790,784</w:t>
            </w:r>
          </w:p>
        </w:tc>
      </w:tr>
      <w:tr w:rsidR="00F81C70" w14:paraId="50A0578E" w14:textId="77777777" w:rsidTr="00E75F25">
        <w:tc>
          <w:tcPr>
            <w:tcW w:w="1615" w:type="dxa"/>
            <w:vAlign w:val="center"/>
          </w:tcPr>
          <w:p w14:paraId="7ED23EFE" w14:textId="2DD5B15B" w:rsidR="00F81C70" w:rsidRDefault="00F81C70" w:rsidP="00F81C70">
            <w:pPr>
              <w:ind w:left="720" w:hanging="720"/>
              <w:jc w:val="left"/>
              <w:rPr>
                <w:rFonts w:cs="Times New Roman"/>
                <w:sz w:val="18"/>
                <w:szCs w:val="18"/>
              </w:rPr>
            </w:pPr>
            <w:r>
              <w:rPr>
                <w:color w:val="000000"/>
                <w:sz w:val="18"/>
                <w:szCs w:val="18"/>
              </w:rPr>
              <w:t>Total Long-term liabilities</w:t>
            </w:r>
          </w:p>
        </w:tc>
        <w:tc>
          <w:tcPr>
            <w:tcW w:w="1260" w:type="dxa"/>
            <w:vAlign w:val="center"/>
          </w:tcPr>
          <w:p w14:paraId="62C793ED" w14:textId="2EF96D44" w:rsidR="00F81C70" w:rsidRDefault="00F81C70" w:rsidP="00F81C70">
            <w:pPr>
              <w:jc w:val="center"/>
              <w:rPr>
                <w:rFonts w:cs="Times New Roman"/>
                <w:sz w:val="16"/>
                <w:szCs w:val="16"/>
              </w:rPr>
            </w:pPr>
            <w:r>
              <w:rPr>
                <w:color w:val="000000"/>
                <w:sz w:val="16"/>
                <w:szCs w:val="16"/>
              </w:rPr>
              <w:t>-</w:t>
            </w:r>
          </w:p>
        </w:tc>
        <w:tc>
          <w:tcPr>
            <w:tcW w:w="1350" w:type="dxa"/>
            <w:vAlign w:val="center"/>
          </w:tcPr>
          <w:p w14:paraId="1D82DC77" w14:textId="36FE6C2C" w:rsidR="00F81C70" w:rsidRDefault="00F81C70" w:rsidP="00F81C70">
            <w:pPr>
              <w:jc w:val="center"/>
              <w:rPr>
                <w:rFonts w:cs="Times New Roman"/>
                <w:sz w:val="16"/>
                <w:szCs w:val="16"/>
              </w:rPr>
            </w:pPr>
            <w:r>
              <w:rPr>
                <w:color w:val="000000"/>
                <w:sz w:val="16"/>
                <w:szCs w:val="16"/>
              </w:rPr>
              <w:t>-</w:t>
            </w:r>
          </w:p>
        </w:tc>
        <w:tc>
          <w:tcPr>
            <w:tcW w:w="1350" w:type="dxa"/>
            <w:vAlign w:val="center"/>
          </w:tcPr>
          <w:p w14:paraId="40509440" w14:textId="6856ADCB" w:rsidR="00F81C70" w:rsidRDefault="00F81C70" w:rsidP="00F81C70">
            <w:pPr>
              <w:jc w:val="center"/>
              <w:rPr>
                <w:rFonts w:cs="Times New Roman"/>
                <w:sz w:val="16"/>
                <w:szCs w:val="16"/>
              </w:rPr>
            </w:pPr>
            <w:r>
              <w:rPr>
                <w:color w:val="000000"/>
                <w:sz w:val="16"/>
                <w:szCs w:val="16"/>
              </w:rPr>
              <w:t>-</w:t>
            </w:r>
          </w:p>
        </w:tc>
        <w:tc>
          <w:tcPr>
            <w:tcW w:w="1350" w:type="dxa"/>
            <w:vAlign w:val="center"/>
          </w:tcPr>
          <w:p w14:paraId="6E543EFA" w14:textId="647E1F8A" w:rsidR="00F81C70" w:rsidRDefault="00F81C70" w:rsidP="00F81C70">
            <w:pPr>
              <w:jc w:val="center"/>
              <w:rPr>
                <w:rFonts w:cs="Times New Roman"/>
                <w:sz w:val="16"/>
                <w:szCs w:val="16"/>
              </w:rPr>
            </w:pPr>
            <w:r>
              <w:rPr>
                <w:color w:val="000000"/>
                <w:sz w:val="16"/>
                <w:szCs w:val="16"/>
              </w:rPr>
              <w:t>-</w:t>
            </w:r>
          </w:p>
        </w:tc>
        <w:tc>
          <w:tcPr>
            <w:tcW w:w="1350" w:type="dxa"/>
            <w:vAlign w:val="center"/>
          </w:tcPr>
          <w:p w14:paraId="3100F3F5" w14:textId="185021BB" w:rsidR="00F81C70" w:rsidRDefault="00F81C70" w:rsidP="00F81C70">
            <w:pPr>
              <w:jc w:val="center"/>
              <w:rPr>
                <w:rFonts w:cs="Times New Roman"/>
                <w:sz w:val="16"/>
                <w:szCs w:val="16"/>
              </w:rPr>
            </w:pPr>
            <w:r>
              <w:rPr>
                <w:color w:val="000000"/>
                <w:sz w:val="16"/>
                <w:szCs w:val="16"/>
              </w:rPr>
              <w:t>124,498,172,768</w:t>
            </w:r>
          </w:p>
        </w:tc>
        <w:tc>
          <w:tcPr>
            <w:tcW w:w="990" w:type="dxa"/>
            <w:vAlign w:val="center"/>
          </w:tcPr>
          <w:p w14:paraId="0C9BD0A7" w14:textId="65061066" w:rsidR="00F81C70" w:rsidRDefault="00F81C70" w:rsidP="00F81C70">
            <w:pPr>
              <w:jc w:val="center"/>
              <w:rPr>
                <w:rFonts w:cs="Times New Roman"/>
                <w:sz w:val="16"/>
                <w:szCs w:val="16"/>
              </w:rPr>
            </w:pPr>
            <w:r>
              <w:rPr>
                <w:color w:val="000000"/>
                <w:sz w:val="16"/>
                <w:szCs w:val="16"/>
              </w:rPr>
              <w:t>124,498,172,768</w:t>
            </w:r>
          </w:p>
        </w:tc>
      </w:tr>
      <w:tr w:rsidR="00F81C70" w14:paraId="2C3A4B82" w14:textId="77777777" w:rsidTr="00E75F25">
        <w:tc>
          <w:tcPr>
            <w:tcW w:w="1615" w:type="dxa"/>
            <w:vAlign w:val="center"/>
          </w:tcPr>
          <w:p w14:paraId="324BC7F7" w14:textId="5E423EA3" w:rsidR="00F81C70" w:rsidRDefault="00F81C70" w:rsidP="00F81C70">
            <w:pPr>
              <w:jc w:val="left"/>
              <w:rPr>
                <w:rFonts w:cs="Times New Roman"/>
                <w:b/>
                <w:bCs/>
                <w:sz w:val="18"/>
                <w:szCs w:val="18"/>
              </w:rPr>
            </w:pPr>
            <w:r>
              <w:rPr>
                <w:b/>
                <w:bCs/>
                <w:color w:val="000000"/>
                <w:sz w:val="18"/>
                <w:szCs w:val="18"/>
              </w:rPr>
              <w:t>Total Liabilities</w:t>
            </w:r>
          </w:p>
        </w:tc>
        <w:tc>
          <w:tcPr>
            <w:tcW w:w="1260" w:type="dxa"/>
            <w:vAlign w:val="center"/>
          </w:tcPr>
          <w:p w14:paraId="20431F5B" w14:textId="2CE95861" w:rsidR="00F81C70" w:rsidRDefault="00F81C70" w:rsidP="00F81C70">
            <w:pPr>
              <w:jc w:val="center"/>
              <w:rPr>
                <w:rFonts w:cs="Times New Roman"/>
                <w:sz w:val="16"/>
                <w:szCs w:val="16"/>
              </w:rPr>
            </w:pPr>
            <w:r>
              <w:rPr>
                <w:color w:val="000000"/>
                <w:sz w:val="16"/>
                <w:szCs w:val="16"/>
              </w:rPr>
              <w:t>53,305,034,418</w:t>
            </w:r>
          </w:p>
        </w:tc>
        <w:tc>
          <w:tcPr>
            <w:tcW w:w="1350" w:type="dxa"/>
            <w:vAlign w:val="center"/>
          </w:tcPr>
          <w:p w14:paraId="4A16AA9E" w14:textId="3336BEB8" w:rsidR="00F81C70" w:rsidRDefault="00F81C70" w:rsidP="00F81C70">
            <w:pPr>
              <w:jc w:val="center"/>
              <w:rPr>
                <w:rFonts w:cs="Times New Roman"/>
                <w:sz w:val="16"/>
                <w:szCs w:val="16"/>
              </w:rPr>
            </w:pPr>
            <w:r>
              <w:rPr>
                <w:color w:val="000000"/>
                <w:sz w:val="16"/>
                <w:szCs w:val="16"/>
              </w:rPr>
              <w:t>36,527,964,396</w:t>
            </w:r>
          </w:p>
        </w:tc>
        <w:tc>
          <w:tcPr>
            <w:tcW w:w="1350" w:type="dxa"/>
            <w:vAlign w:val="center"/>
          </w:tcPr>
          <w:p w14:paraId="629C50F4" w14:textId="589012BB" w:rsidR="00F81C70" w:rsidRDefault="00F81C70" w:rsidP="00F81C70">
            <w:pPr>
              <w:jc w:val="center"/>
              <w:rPr>
                <w:rFonts w:cs="Times New Roman"/>
                <w:sz w:val="16"/>
                <w:szCs w:val="16"/>
              </w:rPr>
            </w:pPr>
            <w:r>
              <w:rPr>
                <w:color w:val="000000"/>
                <w:sz w:val="16"/>
                <w:szCs w:val="16"/>
              </w:rPr>
              <w:t>261,746,511,844</w:t>
            </w:r>
          </w:p>
        </w:tc>
        <w:tc>
          <w:tcPr>
            <w:tcW w:w="1350" w:type="dxa"/>
            <w:vAlign w:val="center"/>
          </w:tcPr>
          <w:p w14:paraId="21DA8D83" w14:textId="6148C2C9" w:rsidR="00F81C70" w:rsidRDefault="00F81C70" w:rsidP="00F81C70">
            <w:pPr>
              <w:jc w:val="center"/>
              <w:rPr>
                <w:rFonts w:cs="Times New Roman"/>
                <w:sz w:val="16"/>
                <w:szCs w:val="16"/>
              </w:rPr>
            </w:pPr>
            <w:r>
              <w:rPr>
                <w:color w:val="000000"/>
                <w:sz w:val="16"/>
                <w:szCs w:val="16"/>
              </w:rPr>
              <w:t>313,953,292,773</w:t>
            </w:r>
          </w:p>
        </w:tc>
        <w:tc>
          <w:tcPr>
            <w:tcW w:w="1350" w:type="dxa"/>
            <w:vAlign w:val="center"/>
          </w:tcPr>
          <w:p w14:paraId="5873B181" w14:textId="35300E59" w:rsidR="00F81C70" w:rsidRDefault="00F81C70" w:rsidP="00F81C70">
            <w:pPr>
              <w:jc w:val="center"/>
              <w:rPr>
                <w:rFonts w:cs="Times New Roman"/>
                <w:sz w:val="16"/>
                <w:szCs w:val="16"/>
              </w:rPr>
            </w:pPr>
            <w:r>
              <w:rPr>
                <w:color w:val="000000"/>
                <w:sz w:val="16"/>
                <w:szCs w:val="16"/>
              </w:rPr>
              <w:t>388,905,160,121</w:t>
            </w:r>
          </w:p>
        </w:tc>
        <w:tc>
          <w:tcPr>
            <w:tcW w:w="990" w:type="dxa"/>
            <w:vAlign w:val="center"/>
          </w:tcPr>
          <w:p w14:paraId="696D96AD" w14:textId="0612944C" w:rsidR="00F81C70" w:rsidRDefault="00F81C70" w:rsidP="00F81C70">
            <w:pPr>
              <w:jc w:val="center"/>
              <w:rPr>
                <w:rFonts w:cs="Times New Roman"/>
                <w:sz w:val="16"/>
                <w:szCs w:val="16"/>
              </w:rPr>
            </w:pPr>
            <w:r>
              <w:rPr>
                <w:color w:val="000000"/>
                <w:sz w:val="16"/>
                <w:szCs w:val="16"/>
              </w:rPr>
              <w:t>1,154,437,963,552</w:t>
            </w:r>
          </w:p>
        </w:tc>
      </w:tr>
      <w:tr w:rsidR="00F81C70" w14:paraId="2607D204" w14:textId="77777777" w:rsidTr="00E75F25">
        <w:tc>
          <w:tcPr>
            <w:tcW w:w="1615" w:type="dxa"/>
            <w:vAlign w:val="center"/>
          </w:tcPr>
          <w:p w14:paraId="536F79D7" w14:textId="6F341FBB" w:rsidR="00F81C70" w:rsidRDefault="00F81C70" w:rsidP="00F81C70">
            <w:pPr>
              <w:jc w:val="left"/>
              <w:rPr>
                <w:rFonts w:cs="Times New Roman"/>
                <w:b/>
                <w:bCs/>
                <w:sz w:val="18"/>
                <w:szCs w:val="18"/>
              </w:rPr>
            </w:pPr>
            <w:r>
              <w:rPr>
                <w:b/>
                <w:bCs/>
                <w:color w:val="000000"/>
                <w:sz w:val="18"/>
                <w:szCs w:val="18"/>
              </w:rPr>
              <w:t>Net Liquidity Gap</w:t>
            </w:r>
          </w:p>
        </w:tc>
        <w:tc>
          <w:tcPr>
            <w:tcW w:w="1260" w:type="dxa"/>
            <w:vAlign w:val="center"/>
          </w:tcPr>
          <w:p w14:paraId="76A20F1C" w14:textId="77570761" w:rsidR="00F81C70" w:rsidRDefault="00F81C70" w:rsidP="00F81C70">
            <w:pPr>
              <w:jc w:val="center"/>
              <w:rPr>
                <w:rFonts w:cs="Times New Roman"/>
                <w:sz w:val="16"/>
                <w:szCs w:val="16"/>
              </w:rPr>
            </w:pPr>
            <w:r>
              <w:rPr>
                <w:color w:val="000000"/>
                <w:sz w:val="16"/>
                <w:szCs w:val="16"/>
              </w:rPr>
              <w:t>5,863,486,901</w:t>
            </w:r>
          </w:p>
        </w:tc>
        <w:tc>
          <w:tcPr>
            <w:tcW w:w="1350" w:type="dxa"/>
            <w:vAlign w:val="center"/>
          </w:tcPr>
          <w:p w14:paraId="422A957D" w14:textId="34DA7CE8" w:rsidR="00F81C70" w:rsidRDefault="00F81C70" w:rsidP="00F81C70">
            <w:pPr>
              <w:jc w:val="center"/>
              <w:rPr>
                <w:rFonts w:cs="Times New Roman"/>
                <w:sz w:val="16"/>
                <w:szCs w:val="16"/>
              </w:rPr>
            </w:pPr>
            <w:r>
              <w:rPr>
                <w:color w:val="000000"/>
                <w:sz w:val="16"/>
                <w:szCs w:val="16"/>
              </w:rPr>
              <w:t>6,229,888,312</w:t>
            </w:r>
          </w:p>
        </w:tc>
        <w:tc>
          <w:tcPr>
            <w:tcW w:w="1350" w:type="dxa"/>
            <w:vAlign w:val="center"/>
          </w:tcPr>
          <w:p w14:paraId="76B5C109" w14:textId="5E5953E3" w:rsidR="00F81C70" w:rsidRDefault="00F81C70" w:rsidP="00F81C70">
            <w:pPr>
              <w:jc w:val="center"/>
              <w:rPr>
                <w:rFonts w:cs="Times New Roman"/>
                <w:sz w:val="16"/>
                <w:szCs w:val="16"/>
              </w:rPr>
            </w:pPr>
            <w:r>
              <w:rPr>
                <w:color w:val="000000"/>
                <w:sz w:val="16"/>
                <w:szCs w:val="16"/>
              </w:rPr>
              <w:t>5,032,370,711</w:t>
            </w:r>
          </w:p>
        </w:tc>
        <w:tc>
          <w:tcPr>
            <w:tcW w:w="1350" w:type="dxa"/>
            <w:vAlign w:val="center"/>
          </w:tcPr>
          <w:p w14:paraId="35BB744D" w14:textId="6813FE1D" w:rsidR="00F81C70" w:rsidRDefault="00F81C70" w:rsidP="00F81C70">
            <w:pPr>
              <w:jc w:val="center"/>
              <w:rPr>
                <w:rFonts w:cs="Times New Roman"/>
                <w:sz w:val="16"/>
                <w:szCs w:val="16"/>
              </w:rPr>
            </w:pPr>
            <w:r>
              <w:rPr>
                <w:color w:val="000000"/>
                <w:sz w:val="16"/>
                <w:szCs w:val="16"/>
              </w:rPr>
              <w:t>8,628,213,197</w:t>
            </w:r>
          </w:p>
        </w:tc>
        <w:tc>
          <w:tcPr>
            <w:tcW w:w="1350" w:type="dxa"/>
            <w:vAlign w:val="center"/>
          </w:tcPr>
          <w:p w14:paraId="73697587" w14:textId="7A4C690D" w:rsidR="00F81C70" w:rsidRDefault="00F81C70" w:rsidP="00F81C70">
            <w:pPr>
              <w:jc w:val="center"/>
              <w:rPr>
                <w:rFonts w:cs="Times New Roman"/>
                <w:sz w:val="16"/>
                <w:szCs w:val="16"/>
              </w:rPr>
            </w:pPr>
            <w:r>
              <w:rPr>
                <w:color w:val="000000"/>
                <w:sz w:val="16"/>
                <w:szCs w:val="16"/>
              </w:rPr>
              <w:t>14,816,755,555</w:t>
            </w:r>
          </w:p>
        </w:tc>
        <w:tc>
          <w:tcPr>
            <w:tcW w:w="990" w:type="dxa"/>
            <w:vAlign w:val="center"/>
          </w:tcPr>
          <w:p w14:paraId="2FCEA7CB" w14:textId="6E8F0AF3" w:rsidR="00F81C70" w:rsidRDefault="00F81C70" w:rsidP="00F81C70">
            <w:pPr>
              <w:jc w:val="center"/>
              <w:rPr>
                <w:rFonts w:cs="Times New Roman"/>
                <w:sz w:val="16"/>
                <w:szCs w:val="16"/>
              </w:rPr>
            </w:pPr>
            <w:r>
              <w:rPr>
                <w:color w:val="000000"/>
                <w:sz w:val="16"/>
                <w:szCs w:val="16"/>
              </w:rPr>
              <w:t>40,570,714,676</w:t>
            </w:r>
          </w:p>
        </w:tc>
      </w:tr>
    </w:tbl>
    <w:p w14:paraId="1510B0EF" w14:textId="32EF27E0" w:rsidR="00A83480" w:rsidRDefault="00A83480" w:rsidP="00A83480">
      <w:pPr>
        <w:rPr>
          <w:szCs w:val="24"/>
        </w:rPr>
      </w:pPr>
    </w:p>
    <w:p w14:paraId="1BD99B16" w14:textId="1D264F37" w:rsidR="00A83480" w:rsidRDefault="00A83480" w:rsidP="00A83480">
      <w:pPr>
        <w:rPr>
          <w:szCs w:val="24"/>
        </w:rPr>
      </w:pPr>
    </w:p>
    <w:p w14:paraId="61B9BDB5" w14:textId="5E452ED9" w:rsidR="007D219E" w:rsidRDefault="00967299" w:rsidP="00A83480">
      <w:pPr>
        <w:rPr>
          <w:szCs w:val="24"/>
        </w:rPr>
      </w:pPr>
      <w:r>
        <w:rPr>
          <w:noProof/>
        </w:rPr>
        <w:lastRenderedPageBreak/>
        <w:drawing>
          <wp:inline distT="0" distB="0" distL="0" distR="0" wp14:anchorId="1F231E57" wp14:editId="0E06A87D">
            <wp:extent cx="5731510" cy="3011170"/>
            <wp:effectExtent l="0" t="0" r="2540" b="17780"/>
            <wp:docPr id="1" name="Chart 1">
              <a:extLst xmlns:a="http://schemas.openxmlformats.org/drawingml/2006/main">
                <a:ext uri="{FF2B5EF4-FFF2-40B4-BE49-F238E27FC236}">
                  <a16:creationId xmlns:a16="http://schemas.microsoft.com/office/drawing/2014/main" id="{49091EAF-2DBD-4E8B-BBB5-B8217B899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5FD72E4" w14:textId="01873AA9" w:rsidR="007D219E" w:rsidRDefault="000040A7" w:rsidP="000040A7">
      <w:pPr>
        <w:jc w:val="center"/>
        <w:rPr>
          <w:szCs w:val="24"/>
        </w:rPr>
      </w:pPr>
      <w:r>
        <w:rPr>
          <w:szCs w:val="24"/>
        </w:rPr>
        <w:t>3.1 This graph shows Maturity analysis of Agrani Bank in 2021</w:t>
      </w:r>
    </w:p>
    <w:p w14:paraId="14EA2892" w14:textId="77777777" w:rsidR="007D219E" w:rsidRDefault="007D219E" w:rsidP="00A83480">
      <w:pPr>
        <w:rPr>
          <w:szCs w:val="24"/>
        </w:rPr>
      </w:pPr>
    </w:p>
    <w:p w14:paraId="5A4C4BCD" w14:textId="2E584BA2" w:rsidR="00A83480" w:rsidRPr="00E0100C" w:rsidRDefault="00A83480" w:rsidP="00A83480">
      <w:pPr>
        <w:rPr>
          <w:rFonts w:cs="Times New Roman"/>
          <w:szCs w:val="24"/>
        </w:rPr>
      </w:pPr>
      <w:r>
        <w:rPr>
          <w:szCs w:val="24"/>
        </w:rPr>
        <w:t xml:space="preserve">The maturity analysis graph shows the situation of liquidity for five years, if we look at the maturity analysis graph then we can see the bank holds more assets which will mature within 1 year compared to 1 to 5 years’ assets. The ABL has higher total assets than a total liability in each period. In total, the bank has </w:t>
      </w:r>
      <w:r>
        <w:rPr>
          <w:rFonts w:cs="Times New Roman"/>
          <w:szCs w:val="24"/>
        </w:rPr>
        <w:t xml:space="preserve">1,195,008,678,228 Tk. </w:t>
      </w:r>
      <w:r>
        <w:rPr>
          <w:szCs w:val="24"/>
        </w:rPr>
        <w:t xml:space="preserve">Of total assets in the contest of </w:t>
      </w:r>
      <w:r>
        <w:rPr>
          <w:rFonts w:cs="Times New Roman"/>
          <w:szCs w:val="24"/>
        </w:rPr>
        <w:t>1,154,437,963,552 Tk.</w:t>
      </w:r>
      <w:r w:rsidR="00E0100C">
        <w:rPr>
          <w:rFonts w:cs="Times New Roman"/>
          <w:szCs w:val="24"/>
        </w:rPr>
        <w:t xml:space="preserve"> </w:t>
      </w:r>
      <w:r>
        <w:rPr>
          <w:szCs w:val="24"/>
        </w:rPr>
        <w:t xml:space="preserve">of total liability, which shows the bank holds high liquidity for escaping any liquidity risk. The bank has </w:t>
      </w:r>
      <w:r>
        <w:rPr>
          <w:rFonts w:cs="Times New Roman"/>
          <w:szCs w:val="24"/>
        </w:rPr>
        <w:t xml:space="preserve">1,179,390,853,484 Tk. Total </w:t>
      </w:r>
      <w:r>
        <w:rPr>
          <w:szCs w:val="24"/>
        </w:rPr>
        <w:t xml:space="preserve">current assets that can easily meet </w:t>
      </w:r>
      <w:r>
        <w:rPr>
          <w:rFonts w:cs="Times New Roman"/>
          <w:szCs w:val="24"/>
        </w:rPr>
        <w:t xml:space="preserve">1,029,939,790,784 Tk. of </w:t>
      </w:r>
      <w:r>
        <w:rPr>
          <w:szCs w:val="24"/>
        </w:rPr>
        <w:t>total short-term liability without facing any liquidity crisis.</w:t>
      </w:r>
    </w:p>
    <w:p w14:paraId="3A3944B8" w14:textId="420F1FEC" w:rsidR="007D269E" w:rsidRDefault="007D269E">
      <w:pPr>
        <w:spacing w:line="259" w:lineRule="auto"/>
        <w:jc w:val="left"/>
      </w:pPr>
      <w:r>
        <w:br w:type="page"/>
      </w:r>
    </w:p>
    <w:p w14:paraId="2F28B486" w14:textId="2DB8ADD1" w:rsidR="007D269E" w:rsidRPr="00503070" w:rsidRDefault="007D269E" w:rsidP="00503070">
      <w:pPr>
        <w:pStyle w:val="Heading1"/>
      </w:pPr>
      <w:bookmarkStart w:id="21" w:name="_Toc136889007"/>
      <w:bookmarkStart w:id="22" w:name="_Toc179034754"/>
      <w:r w:rsidRPr="00503070">
        <w:lastRenderedPageBreak/>
        <w:t>C</w:t>
      </w:r>
      <w:bookmarkEnd w:id="21"/>
      <w:r w:rsidR="00503070">
        <w:t>ONCLUSION</w:t>
      </w:r>
      <w:bookmarkEnd w:id="22"/>
    </w:p>
    <w:p w14:paraId="30852F54" w14:textId="77777777" w:rsidR="00A83546" w:rsidRDefault="00A83546" w:rsidP="00A83546">
      <w:r>
        <w:t>By doing the overall analysis it can be concluded that Agrani Bank Limited is satisfactorily managing its asset-liability by applying various competitive strategies.  Undoubtedly, Agrani Bank is the modern banks in Bangladesh among the other banks which is handling its assets and liabilities with great efficiency and skill. The bank is attempting to implement the most recent approaches for the ALM process and risk management strategy in order to maintain a competitive advantage over its current and potential competitors.  The number of customers in this bank is increasing every year due to the stable ratio of liquidity and low-risk rate.</w:t>
      </w:r>
    </w:p>
    <w:p w14:paraId="007566BC" w14:textId="77777777" w:rsidR="00A83546" w:rsidRDefault="00A83546" w:rsidP="00A83546">
      <w:r>
        <w:t xml:space="preserve">The effect of the global recession on the economy of Bangladesh has proven to be relatively low because of the limited and regular external factors that keep the financial sector free from bad assets and corruption. Real GDP has grown to 6.9% in FY 2021. GDP growth has been projected to gradually rise to 7.2, 7.6, and 8.0 per cent respectively in FY 2021-22, FY 2022-23 and FY 2023-24.  </w:t>
      </w:r>
    </w:p>
    <w:p w14:paraId="4C9AF8DC" w14:textId="32F2FD22" w:rsidR="007D269E" w:rsidRDefault="00A83546" w:rsidP="00A83546">
      <w:r>
        <w:t xml:space="preserve">Monetary policy is believed to play a helpful role in improving the economy. Policy support will be directed towards enough credit flows towards all efficient but underrepresented and unrepresented sectors including the farming sector, SMEs, women entrepreneurs, housing, and effluent treatment projects. Banks will reduce interest rates and be effective in the management function then it will reduce the number of non-performing loans. This bank has won many awards within a short period of its establishment from within and outside Bangladesh, the biggest reason being effective in bank management activities. </w:t>
      </w:r>
      <w:r w:rsidR="007D269E">
        <w:t xml:space="preserve">Therefore, I can say with complete confidence that; </w:t>
      </w:r>
    </w:p>
    <w:p w14:paraId="7049FAB1" w14:textId="77777777" w:rsidR="007D269E" w:rsidRDefault="007D269E" w:rsidP="007D269E">
      <w:r>
        <w:t>" The Agrani Bank is progressing and developing exactly as planned"</w:t>
      </w:r>
    </w:p>
    <w:p w14:paraId="594888A9" w14:textId="77777777" w:rsidR="00803A30" w:rsidRDefault="00803A30" w:rsidP="00AB46BA"/>
    <w:sectPr w:rsidR="00803A30" w:rsidSect="002E098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D1418" w14:textId="77777777" w:rsidR="00B9206D" w:rsidRDefault="00B9206D" w:rsidP="00D451C9">
      <w:pPr>
        <w:spacing w:after="0" w:line="240" w:lineRule="auto"/>
      </w:pPr>
      <w:r>
        <w:separator/>
      </w:r>
    </w:p>
  </w:endnote>
  <w:endnote w:type="continuationSeparator" w:id="0">
    <w:p w14:paraId="291F2AB3" w14:textId="77777777" w:rsidR="00B9206D" w:rsidRDefault="00B9206D" w:rsidP="00D45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3D5D" w14:textId="77777777" w:rsidR="0093101A" w:rsidRDefault="00931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159254"/>
      <w:docPartObj>
        <w:docPartGallery w:val="Page Numbers (Bottom of Page)"/>
        <w:docPartUnique/>
      </w:docPartObj>
    </w:sdtPr>
    <w:sdtEndPr>
      <w:rPr>
        <w:noProof/>
      </w:rPr>
    </w:sdtEndPr>
    <w:sdtContent>
      <w:p w14:paraId="52E5DF5F" w14:textId="258B2C6C" w:rsidR="00D451C9" w:rsidRDefault="00D451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116BCD" w14:textId="77777777" w:rsidR="00D451C9" w:rsidRDefault="00D451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E9FF" w14:textId="77777777" w:rsidR="0093101A" w:rsidRDefault="00931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193A9" w14:textId="77777777" w:rsidR="00B9206D" w:rsidRDefault="00B9206D" w:rsidP="00D451C9">
      <w:pPr>
        <w:spacing w:after="0" w:line="240" w:lineRule="auto"/>
      </w:pPr>
      <w:r>
        <w:separator/>
      </w:r>
    </w:p>
  </w:footnote>
  <w:footnote w:type="continuationSeparator" w:id="0">
    <w:p w14:paraId="6650D8C9" w14:textId="77777777" w:rsidR="00B9206D" w:rsidRDefault="00B9206D" w:rsidP="00D45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AAC7" w14:textId="77777777" w:rsidR="0093101A" w:rsidRDefault="00931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17952" w14:textId="6BD4F123" w:rsidR="00CA02D9" w:rsidRDefault="00B9206D">
    <w:pPr>
      <w:pStyle w:val="Header"/>
    </w:pPr>
    <w:sdt>
      <w:sdtPr>
        <w:id w:val="-966350256"/>
        <w:docPartObj>
          <w:docPartGallery w:val="Watermarks"/>
          <w:docPartUnique/>
        </w:docPartObj>
      </w:sdtPr>
      <w:sdtEndPr/>
      <w:sdtContent>
        <w:r>
          <w:rPr>
            <w:noProof/>
          </w:rPr>
          <w:pict w14:anchorId="39C480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1706642" o:spid="_x0000_s2049" type="#_x0000_t136" style="position:absolute;left:0;text-align:left;margin-left:0;margin-top:0;width:307pt;height:50pt;rotation:315;z-index:-251658240;mso-position-horizontal:center;mso-position-horizontal-relative:margin;mso-position-vertical:center;mso-position-vertical-relative:margin" o:allowincell="f" fillcolor="#5a5a5a [2109]" stroked="f">
              <v:fill opacity=".5"/>
              <v:textpath style="font-family:&quot;Times New Roman&quot;;font-size:44pt" string="AGRANI BANK"/>
              <w10:wrap anchorx="margin" anchory="margin"/>
            </v:shape>
          </w:pict>
        </w:r>
      </w:sdtContent>
    </w:sdt>
    <w:r w:rsidR="002E0983">
      <w:rPr>
        <w:noProof/>
      </w:rPr>
      <w:drawing>
        <wp:anchor distT="0" distB="0" distL="114300" distR="114300" simplePos="0" relativeHeight="251657216" behindDoc="0" locked="0" layoutInCell="1" allowOverlap="1" wp14:anchorId="63CD44C5" wp14:editId="5E7881E1">
          <wp:simplePos x="0" y="0"/>
          <wp:positionH relativeFrom="margin">
            <wp:posOffset>5753100</wp:posOffset>
          </wp:positionH>
          <wp:positionV relativeFrom="paragraph">
            <wp:posOffset>-76200</wp:posOffset>
          </wp:positionV>
          <wp:extent cx="452755" cy="450850"/>
          <wp:effectExtent l="0" t="0" r="4445" b="6350"/>
          <wp:wrapThrough wrapText="bothSides">
            <wp:wrapPolygon edited="0">
              <wp:start x="0" y="0"/>
              <wp:lineTo x="0" y="20992"/>
              <wp:lineTo x="20903" y="20992"/>
              <wp:lineTo x="2090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452755" cy="450850"/>
                  </a:xfrm>
                  <a:prstGeom prst="rect">
                    <a:avLst/>
                  </a:prstGeom>
                </pic:spPr>
              </pic:pic>
            </a:graphicData>
          </a:graphic>
          <wp14:sizeRelH relativeFrom="margin">
            <wp14:pctWidth>0</wp14:pctWidth>
          </wp14:sizeRelH>
          <wp14:sizeRelV relativeFrom="margin">
            <wp14:pctHeight>0</wp14:pctHeight>
          </wp14:sizeRelV>
        </wp:anchor>
      </w:drawing>
    </w:r>
  </w:p>
  <w:p w14:paraId="28E1D61E" w14:textId="76A44B81" w:rsidR="000E74DE" w:rsidRDefault="000E74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9FF9B" w14:textId="77777777" w:rsidR="0093101A" w:rsidRDefault="00931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4500E"/>
    <w:multiLevelType w:val="hybridMultilevel"/>
    <w:tmpl w:val="56F0C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99"/>
    <w:rsid w:val="000040A7"/>
    <w:rsid w:val="00007858"/>
    <w:rsid w:val="00033DCC"/>
    <w:rsid w:val="000515F0"/>
    <w:rsid w:val="000837AA"/>
    <w:rsid w:val="00095302"/>
    <w:rsid w:val="000C708A"/>
    <w:rsid w:val="000D0209"/>
    <w:rsid w:val="000E74DE"/>
    <w:rsid w:val="00110204"/>
    <w:rsid w:val="00140A57"/>
    <w:rsid w:val="0019445D"/>
    <w:rsid w:val="002044E0"/>
    <w:rsid w:val="00220501"/>
    <w:rsid w:val="0026718F"/>
    <w:rsid w:val="00272115"/>
    <w:rsid w:val="00274F08"/>
    <w:rsid w:val="002B56C6"/>
    <w:rsid w:val="002D7387"/>
    <w:rsid w:val="002E0983"/>
    <w:rsid w:val="003A0594"/>
    <w:rsid w:val="003B2C0C"/>
    <w:rsid w:val="004249E8"/>
    <w:rsid w:val="00445D09"/>
    <w:rsid w:val="00483396"/>
    <w:rsid w:val="004930FA"/>
    <w:rsid w:val="004C1A26"/>
    <w:rsid w:val="00503070"/>
    <w:rsid w:val="0052601A"/>
    <w:rsid w:val="00526916"/>
    <w:rsid w:val="00547BF6"/>
    <w:rsid w:val="005F7E22"/>
    <w:rsid w:val="00693FDB"/>
    <w:rsid w:val="006C4674"/>
    <w:rsid w:val="006D0E09"/>
    <w:rsid w:val="007226C5"/>
    <w:rsid w:val="007C7954"/>
    <w:rsid w:val="007D219E"/>
    <w:rsid w:val="007D269E"/>
    <w:rsid w:val="007D4B52"/>
    <w:rsid w:val="007F5B31"/>
    <w:rsid w:val="00803A30"/>
    <w:rsid w:val="00811E95"/>
    <w:rsid w:val="008269C8"/>
    <w:rsid w:val="008B5087"/>
    <w:rsid w:val="008E40D4"/>
    <w:rsid w:val="008F681C"/>
    <w:rsid w:val="0092538C"/>
    <w:rsid w:val="0093101A"/>
    <w:rsid w:val="00947899"/>
    <w:rsid w:val="00967299"/>
    <w:rsid w:val="009E2888"/>
    <w:rsid w:val="009F660F"/>
    <w:rsid w:val="00A06550"/>
    <w:rsid w:val="00A22BA6"/>
    <w:rsid w:val="00A83480"/>
    <w:rsid w:val="00A83546"/>
    <w:rsid w:val="00AB46BA"/>
    <w:rsid w:val="00AD27D4"/>
    <w:rsid w:val="00AF47E7"/>
    <w:rsid w:val="00B729BB"/>
    <w:rsid w:val="00B906A7"/>
    <w:rsid w:val="00B9206D"/>
    <w:rsid w:val="00BB6363"/>
    <w:rsid w:val="00C4325D"/>
    <w:rsid w:val="00C55ABD"/>
    <w:rsid w:val="00C86690"/>
    <w:rsid w:val="00CA02D9"/>
    <w:rsid w:val="00D40FEF"/>
    <w:rsid w:val="00D451C9"/>
    <w:rsid w:val="00E0100C"/>
    <w:rsid w:val="00E50C53"/>
    <w:rsid w:val="00F34A3A"/>
    <w:rsid w:val="00F51A4E"/>
    <w:rsid w:val="00F81C70"/>
    <w:rsid w:val="00FC4189"/>
    <w:rsid w:val="00FE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355479"/>
  <w15:chartTrackingRefBased/>
  <w15:docId w15:val="{34E92DCB-8DF0-46F5-845B-F9DFEFEF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38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2538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538C"/>
    <w:pPr>
      <w:keepNext/>
      <w:keepLines/>
      <w:spacing w:before="40" w:after="0"/>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38C"/>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92538C"/>
    <w:rPr>
      <w:rFonts w:ascii="Times New Roman" w:eastAsiaTheme="majorEastAsia" w:hAnsi="Times New Roman" w:cstheme="majorBidi"/>
      <w:b/>
      <w:color w:val="2F5496" w:themeColor="accent1" w:themeShade="BF"/>
      <w:sz w:val="26"/>
      <w:szCs w:val="26"/>
    </w:rPr>
  </w:style>
  <w:style w:type="table" w:styleId="TableGrid">
    <w:name w:val="Table Grid"/>
    <w:basedOn w:val="TableNormal"/>
    <w:uiPriority w:val="39"/>
    <w:rsid w:val="00811E95"/>
    <w:pPr>
      <w:spacing w:after="0" w:line="240" w:lineRule="auto"/>
    </w:pPr>
    <w:rPr>
      <w:rFonts w:ascii="Calibri" w:eastAsia="Calibri" w:hAnsi="Calibri" w:cs="Vrind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4674"/>
    <w:rPr>
      <w:color w:val="0563C1" w:themeColor="hyperlink"/>
      <w:u w:val="single"/>
    </w:rPr>
  </w:style>
  <w:style w:type="character" w:styleId="UnresolvedMention">
    <w:name w:val="Unresolved Mention"/>
    <w:basedOn w:val="DefaultParagraphFont"/>
    <w:uiPriority w:val="99"/>
    <w:semiHidden/>
    <w:unhideWhenUsed/>
    <w:rsid w:val="006C4674"/>
    <w:rPr>
      <w:color w:val="605E5C"/>
      <w:shd w:val="clear" w:color="auto" w:fill="E1DFDD"/>
    </w:rPr>
  </w:style>
  <w:style w:type="character" w:styleId="FollowedHyperlink">
    <w:name w:val="FollowedHyperlink"/>
    <w:basedOn w:val="DefaultParagraphFont"/>
    <w:uiPriority w:val="99"/>
    <w:semiHidden/>
    <w:unhideWhenUsed/>
    <w:rsid w:val="006C4674"/>
    <w:rPr>
      <w:color w:val="954F72" w:themeColor="followedHyperlink"/>
      <w:u w:val="single"/>
    </w:rPr>
  </w:style>
  <w:style w:type="paragraph" w:styleId="Header">
    <w:name w:val="header"/>
    <w:basedOn w:val="Normal"/>
    <w:link w:val="HeaderChar"/>
    <w:uiPriority w:val="99"/>
    <w:unhideWhenUsed/>
    <w:rsid w:val="00D45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1C9"/>
    <w:rPr>
      <w:rFonts w:ascii="Times New Roman" w:hAnsi="Times New Roman"/>
      <w:sz w:val="24"/>
    </w:rPr>
  </w:style>
  <w:style w:type="paragraph" w:styleId="Footer">
    <w:name w:val="footer"/>
    <w:basedOn w:val="Normal"/>
    <w:link w:val="FooterChar"/>
    <w:uiPriority w:val="99"/>
    <w:unhideWhenUsed/>
    <w:rsid w:val="00D45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1C9"/>
    <w:rPr>
      <w:rFonts w:ascii="Times New Roman" w:hAnsi="Times New Roman"/>
      <w:sz w:val="24"/>
    </w:rPr>
  </w:style>
  <w:style w:type="paragraph" w:styleId="TOCHeading">
    <w:name w:val="TOC Heading"/>
    <w:basedOn w:val="Heading1"/>
    <w:next w:val="Normal"/>
    <w:uiPriority w:val="39"/>
    <w:unhideWhenUsed/>
    <w:qFormat/>
    <w:rsid w:val="00D451C9"/>
    <w:pPr>
      <w:spacing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451C9"/>
    <w:pPr>
      <w:spacing w:after="100"/>
    </w:pPr>
  </w:style>
  <w:style w:type="paragraph" w:styleId="TOC2">
    <w:name w:val="toc 2"/>
    <w:basedOn w:val="Normal"/>
    <w:next w:val="Normal"/>
    <w:autoRedefine/>
    <w:uiPriority w:val="39"/>
    <w:unhideWhenUsed/>
    <w:rsid w:val="00D451C9"/>
    <w:pPr>
      <w:spacing w:after="100"/>
      <w:ind w:left="240"/>
    </w:pPr>
  </w:style>
  <w:style w:type="paragraph" w:styleId="ListParagraph">
    <w:name w:val="List Paragraph"/>
    <w:basedOn w:val="Normal"/>
    <w:uiPriority w:val="34"/>
    <w:qFormat/>
    <w:rsid w:val="002B5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granibank.org/" TargetMode="External"/><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eader" Target="header3.xml"/><Relationship Id="rId10" Type="http://schemas.openxmlformats.org/officeDocument/2006/relationships/hyperlink" Target="https://www.agranibank.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granibank.org/" TargetMode="External"/><Relationship Id="rId14" Type="http://schemas.openxmlformats.org/officeDocument/2006/relationships/diagramLayout" Target="diagrams/layout1.xm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20B%20C\Documents\Book8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Maturity Analysis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cat>
            <c:strRef>
              <c:f>Sheet1!$C$18:$C$24</c:f>
              <c:strCache>
                <c:ptCount val="7"/>
                <c:pt idx="0">
                  <c:v>Total Current Assets</c:v>
                </c:pt>
                <c:pt idx="1">
                  <c:v>Fixed Assets</c:v>
                </c:pt>
                <c:pt idx="2">
                  <c:v>Total Assets</c:v>
                </c:pt>
                <c:pt idx="3">
                  <c:v>Total Short-term liabilities</c:v>
                </c:pt>
                <c:pt idx="4">
                  <c:v>Total Long-term liabilities</c:v>
                </c:pt>
                <c:pt idx="5">
                  <c:v>Total Liabilities</c:v>
                </c:pt>
                <c:pt idx="6">
                  <c:v>Net Liquidity Gap</c:v>
                </c:pt>
              </c:strCache>
            </c:strRef>
          </c:cat>
          <c:val>
            <c:numRef>
              <c:f>Sheet1!$D$18:$D$24</c:f>
              <c:numCache>
                <c:formatCode>General</c:formatCode>
                <c:ptCount val="7"/>
                <c:pt idx="0" formatCode="#,##0">
                  <c:v>59168521319</c:v>
                </c:pt>
                <c:pt idx="1">
                  <c:v>0</c:v>
                </c:pt>
                <c:pt idx="2" formatCode="#,##0">
                  <c:v>59168521319</c:v>
                </c:pt>
                <c:pt idx="3" formatCode="#,##0">
                  <c:v>53305034418</c:v>
                </c:pt>
                <c:pt idx="4">
                  <c:v>0</c:v>
                </c:pt>
                <c:pt idx="5" formatCode="#,##0">
                  <c:v>53305034418</c:v>
                </c:pt>
                <c:pt idx="6" formatCode="#,##0">
                  <c:v>5863486901</c:v>
                </c:pt>
              </c:numCache>
            </c:numRef>
          </c:val>
          <c:extLst>
            <c:ext xmlns:c16="http://schemas.microsoft.com/office/drawing/2014/chart" uri="{C3380CC4-5D6E-409C-BE32-E72D297353CC}">
              <c16:uniqueId val="{00000000-3A26-4DB1-A89D-5D92FFF4AB91}"/>
            </c:ext>
          </c:extLst>
        </c:ser>
        <c:ser>
          <c:idx val="1"/>
          <c:order val="1"/>
          <c:spPr>
            <a:solidFill>
              <a:schemeClr val="accent2">
                <a:alpha val="85000"/>
              </a:schemeClr>
            </a:solidFill>
            <a:ln w="9525" cap="flat" cmpd="sng" algn="ctr">
              <a:solidFill>
                <a:schemeClr val="lt1">
                  <a:alpha val="50000"/>
                </a:schemeClr>
              </a:solidFill>
              <a:round/>
            </a:ln>
            <a:effectLst/>
          </c:spPr>
          <c:invertIfNegative val="0"/>
          <c:cat>
            <c:strRef>
              <c:f>Sheet1!$C$18:$C$24</c:f>
              <c:strCache>
                <c:ptCount val="7"/>
                <c:pt idx="0">
                  <c:v>Total Current Assets</c:v>
                </c:pt>
                <c:pt idx="1">
                  <c:v>Fixed Assets</c:v>
                </c:pt>
                <c:pt idx="2">
                  <c:v>Total Assets</c:v>
                </c:pt>
                <c:pt idx="3">
                  <c:v>Total Short-term liabilities</c:v>
                </c:pt>
                <c:pt idx="4">
                  <c:v>Total Long-term liabilities</c:v>
                </c:pt>
                <c:pt idx="5">
                  <c:v>Total Liabilities</c:v>
                </c:pt>
                <c:pt idx="6">
                  <c:v>Net Liquidity Gap</c:v>
                </c:pt>
              </c:strCache>
            </c:strRef>
          </c:cat>
          <c:val>
            <c:numRef>
              <c:f>Sheet1!$E$18:$E$24</c:f>
              <c:numCache>
                <c:formatCode>General</c:formatCode>
                <c:ptCount val="7"/>
                <c:pt idx="0" formatCode="#,##0">
                  <c:v>142757852708</c:v>
                </c:pt>
                <c:pt idx="1">
                  <c:v>0</c:v>
                </c:pt>
                <c:pt idx="2" formatCode="#,##0">
                  <c:v>142757852708</c:v>
                </c:pt>
                <c:pt idx="3" formatCode="#,##0">
                  <c:v>36527964396</c:v>
                </c:pt>
                <c:pt idx="4">
                  <c:v>0</c:v>
                </c:pt>
                <c:pt idx="5" formatCode="#,##0">
                  <c:v>36527964396</c:v>
                </c:pt>
                <c:pt idx="6" formatCode="#,##0">
                  <c:v>6229888312</c:v>
                </c:pt>
              </c:numCache>
            </c:numRef>
          </c:val>
          <c:extLst>
            <c:ext xmlns:c16="http://schemas.microsoft.com/office/drawing/2014/chart" uri="{C3380CC4-5D6E-409C-BE32-E72D297353CC}">
              <c16:uniqueId val="{00000001-3A26-4DB1-A89D-5D92FFF4AB91}"/>
            </c:ext>
          </c:extLst>
        </c:ser>
        <c:ser>
          <c:idx val="2"/>
          <c:order val="2"/>
          <c:spPr>
            <a:solidFill>
              <a:schemeClr val="accent3">
                <a:alpha val="85000"/>
              </a:schemeClr>
            </a:solidFill>
            <a:ln w="9525" cap="flat" cmpd="sng" algn="ctr">
              <a:solidFill>
                <a:schemeClr val="lt1">
                  <a:alpha val="50000"/>
                </a:schemeClr>
              </a:solidFill>
              <a:round/>
            </a:ln>
            <a:effectLst/>
          </c:spPr>
          <c:invertIfNegative val="0"/>
          <c:cat>
            <c:strRef>
              <c:f>Sheet1!$C$18:$C$24</c:f>
              <c:strCache>
                <c:ptCount val="7"/>
                <c:pt idx="0">
                  <c:v>Total Current Assets</c:v>
                </c:pt>
                <c:pt idx="1">
                  <c:v>Fixed Assets</c:v>
                </c:pt>
                <c:pt idx="2">
                  <c:v>Total Assets</c:v>
                </c:pt>
                <c:pt idx="3">
                  <c:v>Total Short-term liabilities</c:v>
                </c:pt>
                <c:pt idx="4">
                  <c:v>Total Long-term liabilities</c:v>
                </c:pt>
                <c:pt idx="5">
                  <c:v>Total Liabilities</c:v>
                </c:pt>
                <c:pt idx="6">
                  <c:v>Net Liquidity Gap</c:v>
                </c:pt>
              </c:strCache>
            </c:strRef>
          </c:cat>
          <c:val>
            <c:numRef>
              <c:f>Sheet1!$F$18:$F$24</c:f>
              <c:numCache>
                <c:formatCode>General</c:formatCode>
                <c:ptCount val="7"/>
                <c:pt idx="0" formatCode="#,##0">
                  <c:v>266778882555</c:v>
                </c:pt>
                <c:pt idx="1">
                  <c:v>0</c:v>
                </c:pt>
                <c:pt idx="2" formatCode="#,##0">
                  <c:v>266778882555</c:v>
                </c:pt>
                <c:pt idx="3" formatCode="#,##0">
                  <c:v>261746511844</c:v>
                </c:pt>
                <c:pt idx="4">
                  <c:v>0</c:v>
                </c:pt>
                <c:pt idx="5" formatCode="#,##0">
                  <c:v>261746511844</c:v>
                </c:pt>
                <c:pt idx="6" formatCode="#,##0">
                  <c:v>5032370711</c:v>
                </c:pt>
              </c:numCache>
            </c:numRef>
          </c:val>
          <c:extLst>
            <c:ext xmlns:c16="http://schemas.microsoft.com/office/drawing/2014/chart" uri="{C3380CC4-5D6E-409C-BE32-E72D297353CC}">
              <c16:uniqueId val="{00000002-3A26-4DB1-A89D-5D92FFF4AB91}"/>
            </c:ext>
          </c:extLst>
        </c:ser>
        <c:ser>
          <c:idx val="3"/>
          <c:order val="3"/>
          <c:spPr>
            <a:solidFill>
              <a:schemeClr val="accent4">
                <a:alpha val="85000"/>
              </a:schemeClr>
            </a:solidFill>
            <a:ln w="9525" cap="flat" cmpd="sng" algn="ctr">
              <a:solidFill>
                <a:schemeClr val="lt1">
                  <a:alpha val="50000"/>
                </a:schemeClr>
              </a:solidFill>
              <a:round/>
            </a:ln>
            <a:effectLst/>
          </c:spPr>
          <c:invertIfNegative val="0"/>
          <c:cat>
            <c:strRef>
              <c:f>Sheet1!$C$18:$C$24</c:f>
              <c:strCache>
                <c:ptCount val="7"/>
                <c:pt idx="0">
                  <c:v>Total Current Assets</c:v>
                </c:pt>
                <c:pt idx="1">
                  <c:v>Fixed Assets</c:v>
                </c:pt>
                <c:pt idx="2">
                  <c:v>Total Assets</c:v>
                </c:pt>
                <c:pt idx="3">
                  <c:v>Total Short-term liabilities</c:v>
                </c:pt>
                <c:pt idx="4">
                  <c:v>Total Long-term liabilities</c:v>
                </c:pt>
                <c:pt idx="5">
                  <c:v>Total Liabilities</c:v>
                </c:pt>
                <c:pt idx="6">
                  <c:v>Net Liquidity Gap</c:v>
                </c:pt>
              </c:strCache>
            </c:strRef>
          </c:cat>
          <c:val>
            <c:numRef>
              <c:f>Sheet1!$G$18:$G$24</c:f>
              <c:numCache>
                <c:formatCode>General</c:formatCode>
                <c:ptCount val="7"/>
                <c:pt idx="0" formatCode="#,##0">
                  <c:v>322581505970</c:v>
                </c:pt>
                <c:pt idx="2" formatCode="#,##0">
                  <c:v>322581505970</c:v>
                </c:pt>
                <c:pt idx="3" formatCode="#,##0">
                  <c:v>313953292773</c:v>
                </c:pt>
                <c:pt idx="4">
                  <c:v>0</c:v>
                </c:pt>
                <c:pt idx="5" formatCode="#,##0">
                  <c:v>313953292773</c:v>
                </c:pt>
                <c:pt idx="6" formatCode="#,##0">
                  <c:v>8628213197</c:v>
                </c:pt>
              </c:numCache>
            </c:numRef>
          </c:val>
          <c:extLst>
            <c:ext xmlns:c16="http://schemas.microsoft.com/office/drawing/2014/chart" uri="{C3380CC4-5D6E-409C-BE32-E72D297353CC}">
              <c16:uniqueId val="{00000003-3A26-4DB1-A89D-5D92FFF4AB91}"/>
            </c:ext>
          </c:extLst>
        </c:ser>
        <c:ser>
          <c:idx val="4"/>
          <c:order val="4"/>
          <c:spPr>
            <a:solidFill>
              <a:schemeClr val="accent5">
                <a:alpha val="85000"/>
              </a:schemeClr>
            </a:solidFill>
            <a:ln w="9525" cap="flat" cmpd="sng" algn="ctr">
              <a:solidFill>
                <a:schemeClr val="lt1">
                  <a:alpha val="50000"/>
                </a:schemeClr>
              </a:solidFill>
              <a:round/>
            </a:ln>
            <a:effectLst/>
          </c:spPr>
          <c:invertIfNegative val="0"/>
          <c:cat>
            <c:strRef>
              <c:f>Sheet1!$C$18:$C$24</c:f>
              <c:strCache>
                <c:ptCount val="7"/>
                <c:pt idx="0">
                  <c:v>Total Current Assets</c:v>
                </c:pt>
                <c:pt idx="1">
                  <c:v>Fixed Assets</c:v>
                </c:pt>
                <c:pt idx="2">
                  <c:v>Total Assets</c:v>
                </c:pt>
                <c:pt idx="3">
                  <c:v>Total Short-term liabilities</c:v>
                </c:pt>
                <c:pt idx="4">
                  <c:v>Total Long-term liabilities</c:v>
                </c:pt>
                <c:pt idx="5">
                  <c:v>Total Liabilities</c:v>
                </c:pt>
                <c:pt idx="6">
                  <c:v>Net Liquidity Gap</c:v>
                </c:pt>
              </c:strCache>
            </c:strRef>
          </c:cat>
          <c:val>
            <c:numRef>
              <c:f>Sheet1!$H$18:$H$24</c:f>
              <c:numCache>
                <c:formatCode>#,##0</c:formatCode>
                <c:ptCount val="7"/>
                <c:pt idx="0">
                  <c:v>388104090932</c:v>
                </c:pt>
                <c:pt idx="1">
                  <c:v>15617824744</c:v>
                </c:pt>
                <c:pt idx="2">
                  <c:v>403721915676</c:v>
                </c:pt>
                <c:pt idx="3">
                  <c:v>264406987353</c:v>
                </c:pt>
                <c:pt idx="4">
                  <c:v>124498172768</c:v>
                </c:pt>
                <c:pt idx="5">
                  <c:v>388905160121</c:v>
                </c:pt>
                <c:pt idx="6">
                  <c:v>14816755555</c:v>
                </c:pt>
              </c:numCache>
            </c:numRef>
          </c:val>
          <c:extLst>
            <c:ext xmlns:c16="http://schemas.microsoft.com/office/drawing/2014/chart" uri="{C3380CC4-5D6E-409C-BE32-E72D297353CC}">
              <c16:uniqueId val="{00000004-3A26-4DB1-A89D-5D92FFF4AB91}"/>
            </c:ext>
          </c:extLst>
        </c:ser>
        <c:ser>
          <c:idx val="5"/>
          <c:order val="5"/>
          <c:spPr>
            <a:solidFill>
              <a:schemeClr val="accent6">
                <a:alpha val="85000"/>
              </a:schemeClr>
            </a:solidFill>
            <a:ln w="9525" cap="flat" cmpd="sng" algn="ctr">
              <a:solidFill>
                <a:schemeClr val="lt1">
                  <a:alpha val="50000"/>
                </a:schemeClr>
              </a:solidFill>
              <a:round/>
            </a:ln>
            <a:effectLst/>
          </c:spPr>
          <c:invertIfNegative val="0"/>
          <c:cat>
            <c:strRef>
              <c:f>Sheet1!$C$18:$C$24</c:f>
              <c:strCache>
                <c:ptCount val="7"/>
                <c:pt idx="0">
                  <c:v>Total Current Assets</c:v>
                </c:pt>
                <c:pt idx="1">
                  <c:v>Fixed Assets</c:v>
                </c:pt>
                <c:pt idx="2">
                  <c:v>Total Assets</c:v>
                </c:pt>
                <c:pt idx="3">
                  <c:v>Total Short-term liabilities</c:v>
                </c:pt>
                <c:pt idx="4">
                  <c:v>Total Long-term liabilities</c:v>
                </c:pt>
                <c:pt idx="5">
                  <c:v>Total Liabilities</c:v>
                </c:pt>
                <c:pt idx="6">
                  <c:v>Net Liquidity Gap</c:v>
                </c:pt>
              </c:strCache>
            </c:strRef>
          </c:cat>
          <c:val>
            <c:numRef>
              <c:f>Sheet1!$I$18:$I$24</c:f>
              <c:numCache>
                <c:formatCode>#,##0</c:formatCode>
                <c:ptCount val="7"/>
                <c:pt idx="0">
                  <c:v>1179390853484</c:v>
                </c:pt>
                <c:pt idx="1">
                  <c:v>15617824744</c:v>
                </c:pt>
                <c:pt idx="2">
                  <c:v>1195008678228</c:v>
                </c:pt>
                <c:pt idx="3">
                  <c:v>1029939790784</c:v>
                </c:pt>
                <c:pt idx="4">
                  <c:v>124498172768</c:v>
                </c:pt>
                <c:pt idx="5">
                  <c:v>1154437963552</c:v>
                </c:pt>
                <c:pt idx="6">
                  <c:v>40570714676</c:v>
                </c:pt>
              </c:numCache>
            </c:numRef>
          </c:val>
          <c:extLst>
            <c:ext xmlns:c16="http://schemas.microsoft.com/office/drawing/2014/chart" uri="{C3380CC4-5D6E-409C-BE32-E72D297353CC}">
              <c16:uniqueId val="{00000005-3A26-4DB1-A89D-5D92FFF4AB91}"/>
            </c:ext>
          </c:extLst>
        </c:ser>
        <c:dLbls>
          <c:showLegendKey val="0"/>
          <c:showVal val="0"/>
          <c:showCatName val="0"/>
          <c:showSerName val="0"/>
          <c:showPercent val="0"/>
          <c:showBubbleSize val="0"/>
        </c:dLbls>
        <c:gapWidth val="65"/>
        <c:axId val="782100416"/>
        <c:axId val="782104160"/>
      </c:barChart>
      <c:catAx>
        <c:axId val="7821004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82104160"/>
        <c:crosses val="autoZero"/>
        <c:auto val="1"/>
        <c:lblAlgn val="ctr"/>
        <c:lblOffset val="100"/>
        <c:noMultiLvlLbl val="0"/>
      </c:catAx>
      <c:valAx>
        <c:axId val="78210416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Total amount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0" sourceLinked="1"/>
        <c:majorTickMark val="none"/>
        <c:minorTickMark val="none"/>
        <c:tickLblPos val="nextTo"/>
        <c:crossAx val="782100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4A034F-DB4B-4D5F-AB5A-D5873CC63FC5}"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AF768ED-0B63-47FF-9321-1C087C18A85F}">
      <dgm:prSet phldrT="[Text]"/>
      <dgm:spPr/>
      <dgm:t>
        <a:bodyPr/>
        <a:lstStyle/>
        <a:p>
          <a:r>
            <a:rPr lang="en-US" b="1"/>
            <a:t>Product</a:t>
          </a:r>
        </a:p>
      </dgm:t>
    </dgm:pt>
    <dgm:pt modelId="{F06E8804-0AED-4D90-835C-BFC1BD38810B}" type="parTrans" cxnId="{A3782D21-3E05-4FEF-AD0A-097ED307B298}">
      <dgm:prSet/>
      <dgm:spPr/>
      <dgm:t>
        <a:bodyPr/>
        <a:lstStyle/>
        <a:p>
          <a:endParaRPr lang="en-US"/>
        </a:p>
      </dgm:t>
    </dgm:pt>
    <dgm:pt modelId="{E4D25A48-16ED-42E9-9211-8A805A21DCA4}" type="sibTrans" cxnId="{A3782D21-3E05-4FEF-AD0A-097ED307B298}">
      <dgm:prSet/>
      <dgm:spPr/>
      <dgm:t>
        <a:bodyPr/>
        <a:lstStyle/>
        <a:p>
          <a:endParaRPr lang="en-US"/>
        </a:p>
      </dgm:t>
    </dgm:pt>
    <dgm:pt modelId="{C2728932-4B0E-449E-9FA7-948126BB06B9}">
      <dgm:prSet phldrT="[Text]"/>
      <dgm:spPr/>
      <dgm:t>
        <a:bodyPr/>
        <a:lstStyle/>
        <a:p>
          <a:r>
            <a:rPr lang="en-US" b="1"/>
            <a:t>Deposit</a:t>
          </a:r>
          <a:endParaRPr lang="en-US"/>
        </a:p>
      </dgm:t>
    </dgm:pt>
    <dgm:pt modelId="{5830C8C1-E958-4FAF-A806-9498571CA960}" type="parTrans" cxnId="{C8913AC9-4B71-4623-8ACE-C67F377C8260}">
      <dgm:prSet/>
      <dgm:spPr/>
      <dgm:t>
        <a:bodyPr/>
        <a:lstStyle/>
        <a:p>
          <a:endParaRPr lang="en-US"/>
        </a:p>
      </dgm:t>
    </dgm:pt>
    <dgm:pt modelId="{3245B83E-E944-451C-AC37-AEB6D783993D}" type="sibTrans" cxnId="{C8913AC9-4B71-4623-8ACE-C67F377C8260}">
      <dgm:prSet/>
      <dgm:spPr/>
      <dgm:t>
        <a:bodyPr/>
        <a:lstStyle/>
        <a:p>
          <a:endParaRPr lang="en-US"/>
        </a:p>
      </dgm:t>
    </dgm:pt>
    <dgm:pt modelId="{269D8E58-FDCF-40E8-B217-022CFCA4773C}">
      <dgm:prSet phldrT="[Text]" custT="1"/>
      <dgm:spPr/>
      <dgm:t>
        <a:bodyPr/>
        <a:lstStyle/>
        <a:p>
          <a:r>
            <a:rPr lang="en-US" sz="1300" b="1"/>
            <a:t>Taka Account</a:t>
          </a:r>
        </a:p>
      </dgm:t>
    </dgm:pt>
    <dgm:pt modelId="{5889DA3D-B3D3-47D3-A111-4698595DC0BF}" type="parTrans" cxnId="{20E74199-57E8-4656-8533-440CFF81FCA0}">
      <dgm:prSet/>
      <dgm:spPr/>
      <dgm:t>
        <a:bodyPr/>
        <a:lstStyle/>
        <a:p>
          <a:endParaRPr lang="en-US"/>
        </a:p>
      </dgm:t>
    </dgm:pt>
    <dgm:pt modelId="{0EBFD5E5-730D-432D-BC29-4504BFE7019B}" type="sibTrans" cxnId="{20E74199-57E8-4656-8533-440CFF81FCA0}">
      <dgm:prSet/>
      <dgm:spPr/>
      <dgm:t>
        <a:bodyPr/>
        <a:lstStyle/>
        <a:p>
          <a:endParaRPr lang="en-US"/>
        </a:p>
      </dgm:t>
    </dgm:pt>
    <dgm:pt modelId="{A304DED0-C38F-4E04-A4A1-9785A9A085D4}">
      <dgm:prSet phldrT="[Text]"/>
      <dgm:spPr/>
      <dgm:t>
        <a:bodyPr/>
        <a:lstStyle/>
        <a:p>
          <a:r>
            <a:rPr lang="en-US" b="1"/>
            <a:t>Loans &amp; Advances</a:t>
          </a:r>
          <a:endParaRPr lang="en-US"/>
        </a:p>
      </dgm:t>
    </dgm:pt>
    <dgm:pt modelId="{C9AF5F30-6D70-4DC2-86C7-07E7C51B96CA}" type="parTrans" cxnId="{CF44B32F-0053-48B9-9DD5-4881D4CA82A0}">
      <dgm:prSet/>
      <dgm:spPr/>
      <dgm:t>
        <a:bodyPr/>
        <a:lstStyle/>
        <a:p>
          <a:endParaRPr lang="en-US"/>
        </a:p>
      </dgm:t>
    </dgm:pt>
    <dgm:pt modelId="{AD13F749-3EBE-4BEE-8097-41A5E166214F}" type="sibTrans" cxnId="{CF44B32F-0053-48B9-9DD5-4881D4CA82A0}">
      <dgm:prSet/>
      <dgm:spPr/>
      <dgm:t>
        <a:bodyPr/>
        <a:lstStyle/>
        <a:p>
          <a:endParaRPr lang="en-US"/>
        </a:p>
      </dgm:t>
    </dgm:pt>
    <dgm:pt modelId="{D37DB03F-4197-45D5-819B-F64C70435429}">
      <dgm:prSet/>
      <dgm:spPr/>
      <dgm:t>
        <a:bodyPr/>
        <a:lstStyle/>
        <a:p>
          <a:r>
            <a:rPr lang="en-US" b="1"/>
            <a:t>Foreign Currency Account</a:t>
          </a:r>
          <a:endParaRPr lang="en-US"/>
        </a:p>
      </dgm:t>
    </dgm:pt>
    <dgm:pt modelId="{DEBEAAF4-70CE-4796-A5B5-10A8BF8C1218}" type="parTrans" cxnId="{31F15954-425A-454A-97F2-432FC2E90447}">
      <dgm:prSet/>
      <dgm:spPr/>
      <dgm:t>
        <a:bodyPr/>
        <a:lstStyle/>
        <a:p>
          <a:endParaRPr lang="en-US"/>
        </a:p>
      </dgm:t>
    </dgm:pt>
    <dgm:pt modelId="{2683DDDB-7BA7-44B0-9A30-5004D0698AEF}" type="sibTrans" cxnId="{31F15954-425A-454A-97F2-432FC2E90447}">
      <dgm:prSet/>
      <dgm:spPr/>
      <dgm:t>
        <a:bodyPr/>
        <a:lstStyle/>
        <a:p>
          <a:endParaRPr lang="en-US"/>
        </a:p>
      </dgm:t>
    </dgm:pt>
    <dgm:pt modelId="{DBA32A31-5533-4F88-BF36-6182707E87B9}">
      <dgm:prSet/>
      <dgm:spPr/>
      <dgm:t>
        <a:bodyPr/>
        <a:lstStyle/>
        <a:p>
          <a:r>
            <a:rPr lang="en-US" b="1"/>
            <a:t>Continuous Loan</a:t>
          </a:r>
          <a:endParaRPr lang="en-US"/>
        </a:p>
      </dgm:t>
    </dgm:pt>
    <dgm:pt modelId="{32B33702-D9E3-456C-8BF2-2126590B7181}" type="parTrans" cxnId="{CFC61E75-C0E8-4B05-AC24-B4A83DFE0DE0}">
      <dgm:prSet/>
      <dgm:spPr/>
      <dgm:t>
        <a:bodyPr/>
        <a:lstStyle/>
        <a:p>
          <a:endParaRPr lang="en-US"/>
        </a:p>
      </dgm:t>
    </dgm:pt>
    <dgm:pt modelId="{AD65DD7E-8BD5-492E-BC67-226F1CB47BF3}" type="sibTrans" cxnId="{CFC61E75-C0E8-4B05-AC24-B4A83DFE0DE0}">
      <dgm:prSet/>
      <dgm:spPr/>
      <dgm:t>
        <a:bodyPr/>
        <a:lstStyle/>
        <a:p>
          <a:endParaRPr lang="en-US"/>
        </a:p>
      </dgm:t>
    </dgm:pt>
    <dgm:pt modelId="{6899F7BA-25ED-4CB3-840C-A483DEBD82EB}">
      <dgm:prSet/>
      <dgm:spPr/>
      <dgm:t>
        <a:bodyPr/>
        <a:lstStyle/>
        <a:p>
          <a:r>
            <a:rPr lang="en-US" b="1"/>
            <a:t>Term Loan</a:t>
          </a:r>
          <a:endParaRPr lang="en-US"/>
        </a:p>
      </dgm:t>
    </dgm:pt>
    <dgm:pt modelId="{5E316C04-1891-4A57-9E8A-34C0E21FEBD7}" type="parTrans" cxnId="{A2B63B2A-4B5A-4E7A-AE43-6917F1D4ED93}">
      <dgm:prSet/>
      <dgm:spPr/>
      <dgm:t>
        <a:bodyPr/>
        <a:lstStyle/>
        <a:p>
          <a:endParaRPr lang="en-US"/>
        </a:p>
      </dgm:t>
    </dgm:pt>
    <dgm:pt modelId="{21BA124D-95E3-4DD7-8002-0932E86199A0}" type="sibTrans" cxnId="{A2B63B2A-4B5A-4E7A-AE43-6917F1D4ED93}">
      <dgm:prSet/>
      <dgm:spPr/>
      <dgm:t>
        <a:bodyPr/>
        <a:lstStyle/>
        <a:p>
          <a:endParaRPr lang="en-US"/>
        </a:p>
      </dgm:t>
    </dgm:pt>
    <dgm:pt modelId="{0BC5967F-FA55-4B00-9A02-F3A4C474A195}">
      <dgm:prSet/>
      <dgm:spPr/>
      <dgm:t>
        <a:bodyPr/>
        <a:lstStyle/>
        <a:p>
          <a:r>
            <a:rPr lang="en-US" b="1"/>
            <a:t>Rural &amp; Agro Credit</a:t>
          </a:r>
          <a:endParaRPr lang="en-US"/>
        </a:p>
      </dgm:t>
    </dgm:pt>
    <dgm:pt modelId="{0F6EE69D-CAD7-46F8-AA4A-5DF1BE8E9C30}" type="parTrans" cxnId="{FD91F46B-60A2-4652-9129-B68D636DA9D8}">
      <dgm:prSet/>
      <dgm:spPr/>
      <dgm:t>
        <a:bodyPr/>
        <a:lstStyle/>
        <a:p>
          <a:endParaRPr lang="en-US"/>
        </a:p>
      </dgm:t>
    </dgm:pt>
    <dgm:pt modelId="{038AF901-47F3-4C31-9C97-080FCECE0013}" type="sibTrans" cxnId="{FD91F46B-60A2-4652-9129-B68D636DA9D8}">
      <dgm:prSet/>
      <dgm:spPr/>
      <dgm:t>
        <a:bodyPr/>
        <a:lstStyle/>
        <a:p>
          <a:endParaRPr lang="en-US"/>
        </a:p>
      </dgm:t>
    </dgm:pt>
    <dgm:pt modelId="{2874D975-4306-43C4-B630-487A303C17A0}">
      <dgm:prSet/>
      <dgm:spPr/>
      <dgm:t>
        <a:bodyPr/>
        <a:lstStyle/>
        <a:p>
          <a:r>
            <a:rPr lang="en-US" b="1"/>
            <a:t>Import Finance</a:t>
          </a:r>
          <a:endParaRPr lang="en-US"/>
        </a:p>
      </dgm:t>
    </dgm:pt>
    <dgm:pt modelId="{E6FF2FF0-2183-463A-A2BB-07BCF8F22889}" type="parTrans" cxnId="{76C79040-082C-4D2D-8851-9677D815F895}">
      <dgm:prSet/>
      <dgm:spPr/>
      <dgm:t>
        <a:bodyPr/>
        <a:lstStyle/>
        <a:p>
          <a:endParaRPr lang="en-US"/>
        </a:p>
      </dgm:t>
    </dgm:pt>
    <dgm:pt modelId="{2E811F97-BE22-44FC-892B-5C3A667E3101}" type="sibTrans" cxnId="{76C79040-082C-4D2D-8851-9677D815F895}">
      <dgm:prSet/>
      <dgm:spPr/>
      <dgm:t>
        <a:bodyPr/>
        <a:lstStyle/>
        <a:p>
          <a:endParaRPr lang="en-US"/>
        </a:p>
      </dgm:t>
    </dgm:pt>
    <dgm:pt modelId="{1F540C96-9E56-4FE5-AE0E-9A8085C0EBA0}">
      <dgm:prSet/>
      <dgm:spPr/>
      <dgm:t>
        <a:bodyPr/>
        <a:lstStyle/>
        <a:p>
          <a:r>
            <a:rPr lang="en-US" b="1"/>
            <a:t>Small and Medium Enterprise Loan</a:t>
          </a:r>
          <a:endParaRPr lang="en-US"/>
        </a:p>
      </dgm:t>
    </dgm:pt>
    <dgm:pt modelId="{BD6A7D77-CB3D-4548-8E61-240055FA08C0}" type="parTrans" cxnId="{BF88E176-9767-442E-98F8-53D4DBDF154A}">
      <dgm:prSet/>
      <dgm:spPr/>
      <dgm:t>
        <a:bodyPr/>
        <a:lstStyle/>
        <a:p>
          <a:endParaRPr lang="en-US"/>
        </a:p>
      </dgm:t>
    </dgm:pt>
    <dgm:pt modelId="{0F0A84F0-1E5D-4900-AA37-9F3258BB29F4}" type="sibTrans" cxnId="{BF88E176-9767-442E-98F8-53D4DBDF154A}">
      <dgm:prSet/>
      <dgm:spPr/>
      <dgm:t>
        <a:bodyPr/>
        <a:lstStyle/>
        <a:p>
          <a:endParaRPr lang="en-US"/>
        </a:p>
      </dgm:t>
    </dgm:pt>
    <dgm:pt modelId="{0D81DC30-14F8-4265-AD10-50A9D935AC69}" type="pres">
      <dgm:prSet presAssocID="{3F4A034F-DB4B-4D5F-AB5A-D5873CC63FC5}" presName="diagram" presStyleCnt="0">
        <dgm:presLayoutVars>
          <dgm:chPref val="1"/>
          <dgm:dir/>
          <dgm:animOne val="branch"/>
          <dgm:animLvl val="lvl"/>
          <dgm:resizeHandles val="exact"/>
        </dgm:presLayoutVars>
      </dgm:prSet>
      <dgm:spPr/>
    </dgm:pt>
    <dgm:pt modelId="{D6443995-A3B3-48F3-934F-87091868A1D6}" type="pres">
      <dgm:prSet presAssocID="{AAF768ED-0B63-47FF-9321-1C087C18A85F}" presName="root1" presStyleCnt="0"/>
      <dgm:spPr/>
    </dgm:pt>
    <dgm:pt modelId="{2AAFC47A-76D5-43FB-BE5A-B93FB7B15268}" type="pres">
      <dgm:prSet presAssocID="{AAF768ED-0B63-47FF-9321-1C087C18A85F}" presName="LevelOneTextNode" presStyleLbl="node0" presStyleIdx="0" presStyleCnt="1">
        <dgm:presLayoutVars>
          <dgm:chPref val="3"/>
        </dgm:presLayoutVars>
      </dgm:prSet>
      <dgm:spPr/>
    </dgm:pt>
    <dgm:pt modelId="{9F861D57-EDEE-4AF5-B258-1A279A757796}" type="pres">
      <dgm:prSet presAssocID="{AAF768ED-0B63-47FF-9321-1C087C18A85F}" presName="level2hierChild" presStyleCnt="0"/>
      <dgm:spPr/>
    </dgm:pt>
    <dgm:pt modelId="{725A52C0-D9E4-47DB-90D0-B28BF2F45E64}" type="pres">
      <dgm:prSet presAssocID="{5830C8C1-E958-4FAF-A806-9498571CA960}" presName="conn2-1" presStyleLbl="parChTrans1D2" presStyleIdx="0" presStyleCnt="2"/>
      <dgm:spPr/>
    </dgm:pt>
    <dgm:pt modelId="{A69B98F0-5B43-4609-815B-3A5103B68BEE}" type="pres">
      <dgm:prSet presAssocID="{5830C8C1-E958-4FAF-A806-9498571CA960}" presName="connTx" presStyleLbl="parChTrans1D2" presStyleIdx="0" presStyleCnt="2"/>
      <dgm:spPr/>
    </dgm:pt>
    <dgm:pt modelId="{D427C7A6-0334-4BFB-856A-1B6B610135F9}" type="pres">
      <dgm:prSet presAssocID="{C2728932-4B0E-449E-9FA7-948126BB06B9}" presName="root2" presStyleCnt="0"/>
      <dgm:spPr/>
    </dgm:pt>
    <dgm:pt modelId="{FD7EAE31-CE36-4A35-9E78-8A107ECABDD7}" type="pres">
      <dgm:prSet presAssocID="{C2728932-4B0E-449E-9FA7-948126BB06B9}" presName="LevelTwoTextNode" presStyleLbl="node2" presStyleIdx="0" presStyleCnt="2">
        <dgm:presLayoutVars>
          <dgm:chPref val="3"/>
        </dgm:presLayoutVars>
      </dgm:prSet>
      <dgm:spPr/>
    </dgm:pt>
    <dgm:pt modelId="{B6366A24-F01E-4CF7-A1FF-054962A73072}" type="pres">
      <dgm:prSet presAssocID="{C2728932-4B0E-449E-9FA7-948126BB06B9}" presName="level3hierChild" presStyleCnt="0"/>
      <dgm:spPr/>
    </dgm:pt>
    <dgm:pt modelId="{06B4CDF9-F8EF-4D84-B225-7C7E673F9023}" type="pres">
      <dgm:prSet presAssocID="{5889DA3D-B3D3-47D3-A111-4698595DC0BF}" presName="conn2-1" presStyleLbl="parChTrans1D3" presStyleIdx="0" presStyleCnt="7"/>
      <dgm:spPr/>
    </dgm:pt>
    <dgm:pt modelId="{9FEA13D0-1D50-4093-8007-43A36BAABACD}" type="pres">
      <dgm:prSet presAssocID="{5889DA3D-B3D3-47D3-A111-4698595DC0BF}" presName="connTx" presStyleLbl="parChTrans1D3" presStyleIdx="0" presStyleCnt="7"/>
      <dgm:spPr/>
    </dgm:pt>
    <dgm:pt modelId="{806D0632-A442-4793-B2E7-14E4E824E3D6}" type="pres">
      <dgm:prSet presAssocID="{269D8E58-FDCF-40E8-B217-022CFCA4773C}" presName="root2" presStyleCnt="0"/>
      <dgm:spPr/>
    </dgm:pt>
    <dgm:pt modelId="{8B291400-1871-483E-8FC8-A452020FD47B}" type="pres">
      <dgm:prSet presAssocID="{269D8E58-FDCF-40E8-B217-022CFCA4773C}" presName="LevelTwoTextNode" presStyleLbl="node3" presStyleIdx="0" presStyleCnt="7">
        <dgm:presLayoutVars>
          <dgm:chPref val="3"/>
        </dgm:presLayoutVars>
      </dgm:prSet>
      <dgm:spPr/>
    </dgm:pt>
    <dgm:pt modelId="{B29A3301-ACBD-4DC5-96CE-E62C8E0AE261}" type="pres">
      <dgm:prSet presAssocID="{269D8E58-FDCF-40E8-B217-022CFCA4773C}" presName="level3hierChild" presStyleCnt="0"/>
      <dgm:spPr/>
    </dgm:pt>
    <dgm:pt modelId="{848044AF-F8F8-4B22-A00A-550B2E81BF39}" type="pres">
      <dgm:prSet presAssocID="{DEBEAAF4-70CE-4796-A5B5-10A8BF8C1218}" presName="conn2-1" presStyleLbl="parChTrans1D3" presStyleIdx="1" presStyleCnt="7"/>
      <dgm:spPr/>
    </dgm:pt>
    <dgm:pt modelId="{776B48A8-5B5A-4D38-931C-25F15E246F57}" type="pres">
      <dgm:prSet presAssocID="{DEBEAAF4-70CE-4796-A5B5-10A8BF8C1218}" presName="connTx" presStyleLbl="parChTrans1D3" presStyleIdx="1" presStyleCnt="7"/>
      <dgm:spPr/>
    </dgm:pt>
    <dgm:pt modelId="{B8D243F9-FCF8-4A29-B287-252044153FF4}" type="pres">
      <dgm:prSet presAssocID="{D37DB03F-4197-45D5-819B-F64C70435429}" presName="root2" presStyleCnt="0"/>
      <dgm:spPr/>
    </dgm:pt>
    <dgm:pt modelId="{6CC96ECB-2FBC-4886-9B92-B04C564D597C}" type="pres">
      <dgm:prSet presAssocID="{D37DB03F-4197-45D5-819B-F64C70435429}" presName="LevelTwoTextNode" presStyleLbl="node3" presStyleIdx="1" presStyleCnt="7">
        <dgm:presLayoutVars>
          <dgm:chPref val="3"/>
        </dgm:presLayoutVars>
      </dgm:prSet>
      <dgm:spPr/>
    </dgm:pt>
    <dgm:pt modelId="{792088DE-089B-462B-8DC9-F35C28134E81}" type="pres">
      <dgm:prSet presAssocID="{D37DB03F-4197-45D5-819B-F64C70435429}" presName="level3hierChild" presStyleCnt="0"/>
      <dgm:spPr/>
    </dgm:pt>
    <dgm:pt modelId="{EAE12946-8B52-4AA8-A75B-0BF71EF83EC8}" type="pres">
      <dgm:prSet presAssocID="{C9AF5F30-6D70-4DC2-86C7-07E7C51B96CA}" presName="conn2-1" presStyleLbl="parChTrans1D2" presStyleIdx="1" presStyleCnt="2"/>
      <dgm:spPr/>
    </dgm:pt>
    <dgm:pt modelId="{760B940D-6B57-4068-93B1-AF0D426C3C89}" type="pres">
      <dgm:prSet presAssocID="{C9AF5F30-6D70-4DC2-86C7-07E7C51B96CA}" presName="connTx" presStyleLbl="parChTrans1D2" presStyleIdx="1" presStyleCnt="2"/>
      <dgm:spPr/>
    </dgm:pt>
    <dgm:pt modelId="{1C9A1899-7127-4742-8FAD-0F196D3046D4}" type="pres">
      <dgm:prSet presAssocID="{A304DED0-C38F-4E04-A4A1-9785A9A085D4}" presName="root2" presStyleCnt="0"/>
      <dgm:spPr/>
    </dgm:pt>
    <dgm:pt modelId="{BF885F25-A08C-43F8-A67E-F13A96EC0312}" type="pres">
      <dgm:prSet presAssocID="{A304DED0-C38F-4E04-A4A1-9785A9A085D4}" presName="LevelTwoTextNode" presStyleLbl="node2" presStyleIdx="1" presStyleCnt="2">
        <dgm:presLayoutVars>
          <dgm:chPref val="3"/>
        </dgm:presLayoutVars>
      </dgm:prSet>
      <dgm:spPr/>
    </dgm:pt>
    <dgm:pt modelId="{D15D7678-9D2B-4F0F-BE7D-F39BD4840D77}" type="pres">
      <dgm:prSet presAssocID="{A304DED0-C38F-4E04-A4A1-9785A9A085D4}" presName="level3hierChild" presStyleCnt="0"/>
      <dgm:spPr/>
    </dgm:pt>
    <dgm:pt modelId="{7F087804-E90B-46F3-B6F4-FD5756DC6619}" type="pres">
      <dgm:prSet presAssocID="{0F6EE69D-CAD7-46F8-AA4A-5DF1BE8E9C30}" presName="conn2-1" presStyleLbl="parChTrans1D3" presStyleIdx="2" presStyleCnt="7"/>
      <dgm:spPr/>
    </dgm:pt>
    <dgm:pt modelId="{BA00065C-0FDB-4DD1-80E6-8CAC67E495CE}" type="pres">
      <dgm:prSet presAssocID="{0F6EE69D-CAD7-46F8-AA4A-5DF1BE8E9C30}" presName="connTx" presStyleLbl="parChTrans1D3" presStyleIdx="2" presStyleCnt="7"/>
      <dgm:spPr/>
    </dgm:pt>
    <dgm:pt modelId="{ECDB50D1-55B8-43ED-93CE-FF05E842D10F}" type="pres">
      <dgm:prSet presAssocID="{0BC5967F-FA55-4B00-9A02-F3A4C474A195}" presName="root2" presStyleCnt="0"/>
      <dgm:spPr/>
    </dgm:pt>
    <dgm:pt modelId="{7808180C-4C0E-472A-89A7-7A15398BC195}" type="pres">
      <dgm:prSet presAssocID="{0BC5967F-FA55-4B00-9A02-F3A4C474A195}" presName="LevelTwoTextNode" presStyleLbl="node3" presStyleIdx="2" presStyleCnt="7">
        <dgm:presLayoutVars>
          <dgm:chPref val="3"/>
        </dgm:presLayoutVars>
      </dgm:prSet>
      <dgm:spPr/>
    </dgm:pt>
    <dgm:pt modelId="{3CF28AF4-AB89-4D00-8628-03726E0879B4}" type="pres">
      <dgm:prSet presAssocID="{0BC5967F-FA55-4B00-9A02-F3A4C474A195}" presName="level3hierChild" presStyleCnt="0"/>
      <dgm:spPr/>
    </dgm:pt>
    <dgm:pt modelId="{E522BCB0-1076-4FA8-B7B3-FE0C1A4E3DC9}" type="pres">
      <dgm:prSet presAssocID="{32B33702-D9E3-456C-8BF2-2126590B7181}" presName="conn2-1" presStyleLbl="parChTrans1D3" presStyleIdx="3" presStyleCnt="7"/>
      <dgm:spPr/>
    </dgm:pt>
    <dgm:pt modelId="{25D0FC85-07C4-47B4-8334-6DDDB2186E6C}" type="pres">
      <dgm:prSet presAssocID="{32B33702-D9E3-456C-8BF2-2126590B7181}" presName="connTx" presStyleLbl="parChTrans1D3" presStyleIdx="3" presStyleCnt="7"/>
      <dgm:spPr/>
    </dgm:pt>
    <dgm:pt modelId="{FEF9BD96-979F-4C97-B058-A855D28162F8}" type="pres">
      <dgm:prSet presAssocID="{DBA32A31-5533-4F88-BF36-6182707E87B9}" presName="root2" presStyleCnt="0"/>
      <dgm:spPr/>
    </dgm:pt>
    <dgm:pt modelId="{EE3DF350-29AB-439A-94F7-EF009951A8D3}" type="pres">
      <dgm:prSet presAssocID="{DBA32A31-5533-4F88-BF36-6182707E87B9}" presName="LevelTwoTextNode" presStyleLbl="node3" presStyleIdx="3" presStyleCnt="7">
        <dgm:presLayoutVars>
          <dgm:chPref val="3"/>
        </dgm:presLayoutVars>
      </dgm:prSet>
      <dgm:spPr/>
    </dgm:pt>
    <dgm:pt modelId="{3FA8231D-6DCD-48F6-8C89-2CB743A02C9E}" type="pres">
      <dgm:prSet presAssocID="{DBA32A31-5533-4F88-BF36-6182707E87B9}" presName="level3hierChild" presStyleCnt="0"/>
      <dgm:spPr/>
    </dgm:pt>
    <dgm:pt modelId="{8789AFEB-7376-4D34-BFA5-09266A1749E3}" type="pres">
      <dgm:prSet presAssocID="{BD6A7D77-CB3D-4548-8E61-240055FA08C0}" presName="conn2-1" presStyleLbl="parChTrans1D3" presStyleIdx="4" presStyleCnt="7"/>
      <dgm:spPr/>
    </dgm:pt>
    <dgm:pt modelId="{AB82EC2A-1A81-4BCA-BC94-62164F4B26D8}" type="pres">
      <dgm:prSet presAssocID="{BD6A7D77-CB3D-4548-8E61-240055FA08C0}" presName="connTx" presStyleLbl="parChTrans1D3" presStyleIdx="4" presStyleCnt="7"/>
      <dgm:spPr/>
    </dgm:pt>
    <dgm:pt modelId="{7BCE0B33-E4FC-4DD2-B6FD-9299B20E7B13}" type="pres">
      <dgm:prSet presAssocID="{1F540C96-9E56-4FE5-AE0E-9A8085C0EBA0}" presName="root2" presStyleCnt="0"/>
      <dgm:spPr/>
    </dgm:pt>
    <dgm:pt modelId="{FE0A7287-FCCF-4B33-92AD-39E196277592}" type="pres">
      <dgm:prSet presAssocID="{1F540C96-9E56-4FE5-AE0E-9A8085C0EBA0}" presName="LevelTwoTextNode" presStyleLbl="node3" presStyleIdx="4" presStyleCnt="7">
        <dgm:presLayoutVars>
          <dgm:chPref val="3"/>
        </dgm:presLayoutVars>
      </dgm:prSet>
      <dgm:spPr/>
    </dgm:pt>
    <dgm:pt modelId="{B3C55616-08B1-433C-8E04-1BCA5261DE2E}" type="pres">
      <dgm:prSet presAssocID="{1F540C96-9E56-4FE5-AE0E-9A8085C0EBA0}" presName="level3hierChild" presStyleCnt="0"/>
      <dgm:spPr/>
    </dgm:pt>
    <dgm:pt modelId="{534C3D60-F634-402D-A242-471A89DDC607}" type="pres">
      <dgm:prSet presAssocID="{E6FF2FF0-2183-463A-A2BB-07BCF8F22889}" presName="conn2-1" presStyleLbl="parChTrans1D3" presStyleIdx="5" presStyleCnt="7"/>
      <dgm:spPr/>
    </dgm:pt>
    <dgm:pt modelId="{A1BBDCBE-9B2F-44C8-B303-8C7D79BCD10B}" type="pres">
      <dgm:prSet presAssocID="{E6FF2FF0-2183-463A-A2BB-07BCF8F22889}" presName="connTx" presStyleLbl="parChTrans1D3" presStyleIdx="5" presStyleCnt="7"/>
      <dgm:spPr/>
    </dgm:pt>
    <dgm:pt modelId="{D80F7553-0C49-4A76-A704-66F90D6FE14E}" type="pres">
      <dgm:prSet presAssocID="{2874D975-4306-43C4-B630-487A303C17A0}" presName="root2" presStyleCnt="0"/>
      <dgm:spPr/>
    </dgm:pt>
    <dgm:pt modelId="{333E0D0B-CA65-4C88-A38E-7E6ECA491969}" type="pres">
      <dgm:prSet presAssocID="{2874D975-4306-43C4-B630-487A303C17A0}" presName="LevelTwoTextNode" presStyleLbl="node3" presStyleIdx="5" presStyleCnt="7">
        <dgm:presLayoutVars>
          <dgm:chPref val="3"/>
        </dgm:presLayoutVars>
      </dgm:prSet>
      <dgm:spPr/>
    </dgm:pt>
    <dgm:pt modelId="{398E9ECE-B4AA-4001-BA2A-7DF859CD7E07}" type="pres">
      <dgm:prSet presAssocID="{2874D975-4306-43C4-B630-487A303C17A0}" presName="level3hierChild" presStyleCnt="0"/>
      <dgm:spPr/>
    </dgm:pt>
    <dgm:pt modelId="{8D882DC2-F210-417B-8605-15EF6B05B73B}" type="pres">
      <dgm:prSet presAssocID="{5E316C04-1891-4A57-9E8A-34C0E21FEBD7}" presName="conn2-1" presStyleLbl="parChTrans1D3" presStyleIdx="6" presStyleCnt="7"/>
      <dgm:spPr/>
    </dgm:pt>
    <dgm:pt modelId="{C114CBAE-7860-4FB9-AB7A-031688AD5792}" type="pres">
      <dgm:prSet presAssocID="{5E316C04-1891-4A57-9E8A-34C0E21FEBD7}" presName="connTx" presStyleLbl="parChTrans1D3" presStyleIdx="6" presStyleCnt="7"/>
      <dgm:spPr/>
    </dgm:pt>
    <dgm:pt modelId="{1F499255-DE6D-4045-983D-9C7FECD47559}" type="pres">
      <dgm:prSet presAssocID="{6899F7BA-25ED-4CB3-840C-A483DEBD82EB}" presName="root2" presStyleCnt="0"/>
      <dgm:spPr/>
    </dgm:pt>
    <dgm:pt modelId="{47563EC0-A2C6-45B7-BEEC-7CDF4DF8ABD6}" type="pres">
      <dgm:prSet presAssocID="{6899F7BA-25ED-4CB3-840C-A483DEBD82EB}" presName="LevelTwoTextNode" presStyleLbl="node3" presStyleIdx="6" presStyleCnt="7">
        <dgm:presLayoutVars>
          <dgm:chPref val="3"/>
        </dgm:presLayoutVars>
      </dgm:prSet>
      <dgm:spPr/>
    </dgm:pt>
    <dgm:pt modelId="{34FBE324-B90D-48DF-B52A-7F9BCC22A211}" type="pres">
      <dgm:prSet presAssocID="{6899F7BA-25ED-4CB3-840C-A483DEBD82EB}" presName="level3hierChild" presStyleCnt="0"/>
      <dgm:spPr/>
    </dgm:pt>
  </dgm:ptLst>
  <dgm:cxnLst>
    <dgm:cxn modelId="{9C395105-9429-4B8B-8A57-F96ACB697F76}" type="presOf" srcId="{3F4A034F-DB4B-4D5F-AB5A-D5873CC63FC5}" destId="{0D81DC30-14F8-4265-AD10-50A9D935AC69}" srcOrd="0" destOrd="0" presId="urn:microsoft.com/office/officeart/2005/8/layout/hierarchy2"/>
    <dgm:cxn modelId="{F0A55C0F-85DF-4368-921B-BBC9F14CA639}" type="presOf" srcId="{5830C8C1-E958-4FAF-A806-9498571CA960}" destId="{725A52C0-D9E4-47DB-90D0-B28BF2F45E64}" srcOrd="0" destOrd="0" presId="urn:microsoft.com/office/officeart/2005/8/layout/hierarchy2"/>
    <dgm:cxn modelId="{9BE9AE1C-C6F5-4463-BF33-9BC63856D42A}" type="presOf" srcId="{BD6A7D77-CB3D-4548-8E61-240055FA08C0}" destId="{AB82EC2A-1A81-4BCA-BC94-62164F4B26D8}" srcOrd="1" destOrd="0" presId="urn:microsoft.com/office/officeart/2005/8/layout/hierarchy2"/>
    <dgm:cxn modelId="{B89B8F1D-D192-4F39-BDA2-DF423DAD965E}" type="presOf" srcId="{DBA32A31-5533-4F88-BF36-6182707E87B9}" destId="{EE3DF350-29AB-439A-94F7-EF009951A8D3}" srcOrd="0" destOrd="0" presId="urn:microsoft.com/office/officeart/2005/8/layout/hierarchy2"/>
    <dgm:cxn modelId="{A3782D21-3E05-4FEF-AD0A-097ED307B298}" srcId="{3F4A034F-DB4B-4D5F-AB5A-D5873CC63FC5}" destId="{AAF768ED-0B63-47FF-9321-1C087C18A85F}" srcOrd="0" destOrd="0" parTransId="{F06E8804-0AED-4D90-835C-BFC1BD38810B}" sibTransId="{E4D25A48-16ED-42E9-9211-8A805A21DCA4}"/>
    <dgm:cxn modelId="{75315C26-D72A-43F7-A09C-2DEC1CD74773}" type="presOf" srcId="{BD6A7D77-CB3D-4548-8E61-240055FA08C0}" destId="{8789AFEB-7376-4D34-BFA5-09266A1749E3}" srcOrd="0" destOrd="0" presId="urn:microsoft.com/office/officeart/2005/8/layout/hierarchy2"/>
    <dgm:cxn modelId="{A2B63B2A-4B5A-4E7A-AE43-6917F1D4ED93}" srcId="{A304DED0-C38F-4E04-A4A1-9785A9A085D4}" destId="{6899F7BA-25ED-4CB3-840C-A483DEBD82EB}" srcOrd="4" destOrd="0" parTransId="{5E316C04-1891-4A57-9E8A-34C0E21FEBD7}" sibTransId="{21BA124D-95E3-4DD7-8002-0932E86199A0}"/>
    <dgm:cxn modelId="{CF44B32F-0053-48B9-9DD5-4881D4CA82A0}" srcId="{AAF768ED-0B63-47FF-9321-1C087C18A85F}" destId="{A304DED0-C38F-4E04-A4A1-9785A9A085D4}" srcOrd="1" destOrd="0" parTransId="{C9AF5F30-6D70-4DC2-86C7-07E7C51B96CA}" sibTransId="{AD13F749-3EBE-4BEE-8097-41A5E166214F}"/>
    <dgm:cxn modelId="{02AEB830-8955-43D9-896D-B20510125ACB}" type="presOf" srcId="{0F6EE69D-CAD7-46F8-AA4A-5DF1BE8E9C30}" destId="{BA00065C-0FDB-4DD1-80E6-8CAC67E495CE}" srcOrd="1" destOrd="0" presId="urn:microsoft.com/office/officeart/2005/8/layout/hierarchy2"/>
    <dgm:cxn modelId="{DF945D34-F5B7-4885-A2E0-656F755A63F8}" type="presOf" srcId="{DEBEAAF4-70CE-4796-A5B5-10A8BF8C1218}" destId="{776B48A8-5B5A-4D38-931C-25F15E246F57}" srcOrd="1" destOrd="0" presId="urn:microsoft.com/office/officeart/2005/8/layout/hierarchy2"/>
    <dgm:cxn modelId="{B7988E39-FB54-4408-90F9-F8866CD6FBC7}" type="presOf" srcId="{DEBEAAF4-70CE-4796-A5B5-10A8BF8C1218}" destId="{848044AF-F8F8-4B22-A00A-550B2E81BF39}" srcOrd="0" destOrd="0" presId="urn:microsoft.com/office/officeart/2005/8/layout/hierarchy2"/>
    <dgm:cxn modelId="{76C79040-082C-4D2D-8851-9677D815F895}" srcId="{A304DED0-C38F-4E04-A4A1-9785A9A085D4}" destId="{2874D975-4306-43C4-B630-487A303C17A0}" srcOrd="3" destOrd="0" parTransId="{E6FF2FF0-2183-463A-A2BB-07BCF8F22889}" sibTransId="{2E811F97-BE22-44FC-892B-5C3A667E3101}"/>
    <dgm:cxn modelId="{C0271D5D-10FA-4789-9A89-1981FE2FED5F}" type="presOf" srcId="{AAF768ED-0B63-47FF-9321-1C087C18A85F}" destId="{2AAFC47A-76D5-43FB-BE5A-B93FB7B15268}" srcOrd="0" destOrd="0" presId="urn:microsoft.com/office/officeart/2005/8/layout/hierarchy2"/>
    <dgm:cxn modelId="{8BADD85D-2A2B-41E6-8EB1-AF7852035690}" type="presOf" srcId="{0BC5967F-FA55-4B00-9A02-F3A4C474A195}" destId="{7808180C-4C0E-472A-89A7-7A15398BC195}" srcOrd="0" destOrd="0" presId="urn:microsoft.com/office/officeart/2005/8/layout/hierarchy2"/>
    <dgm:cxn modelId="{FD91F46B-60A2-4652-9129-B68D636DA9D8}" srcId="{A304DED0-C38F-4E04-A4A1-9785A9A085D4}" destId="{0BC5967F-FA55-4B00-9A02-F3A4C474A195}" srcOrd="0" destOrd="0" parTransId="{0F6EE69D-CAD7-46F8-AA4A-5DF1BE8E9C30}" sibTransId="{038AF901-47F3-4C31-9C97-080FCECE0013}"/>
    <dgm:cxn modelId="{EAC34D4C-5266-45FB-A7B7-016A9A59401E}" type="presOf" srcId="{E6FF2FF0-2183-463A-A2BB-07BCF8F22889}" destId="{534C3D60-F634-402D-A242-471A89DDC607}" srcOrd="0" destOrd="0" presId="urn:microsoft.com/office/officeart/2005/8/layout/hierarchy2"/>
    <dgm:cxn modelId="{EB7DE072-BCD4-4918-A4A4-1467F295A1B5}" type="presOf" srcId="{5E316C04-1891-4A57-9E8A-34C0E21FEBD7}" destId="{C114CBAE-7860-4FB9-AB7A-031688AD5792}" srcOrd="1" destOrd="0" presId="urn:microsoft.com/office/officeart/2005/8/layout/hierarchy2"/>
    <dgm:cxn modelId="{BD03FE72-A633-4554-9641-CD86C4AD5622}" type="presOf" srcId="{5889DA3D-B3D3-47D3-A111-4698595DC0BF}" destId="{06B4CDF9-F8EF-4D84-B225-7C7E673F9023}" srcOrd="0" destOrd="0" presId="urn:microsoft.com/office/officeart/2005/8/layout/hierarchy2"/>
    <dgm:cxn modelId="{31F15954-425A-454A-97F2-432FC2E90447}" srcId="{C2728932-4B0E-449E-9FA7-948126BB06B9}" destId="{D37DB03F-4197-45D5-819B-F64C70435429}" srcOrd="1" destOrd="0" parTransId="{DEBEAAF4-70CE-4796-A5B5-10A8BF8C1218}" sibTransId="{2683DDDB-7BA7-44B0-9A30-5004D0698AEF}"/>
    <dgm:cxn modelId="{CFC61E75-C0E8-4B05-AC24-B4A83DFE0DE0}" srcId="{A304DED0-C38F-4E04-A4A1-9785A9A085D4}" destId="{DBA32A31-5533-4F88-BF36-6182707E87B9}" srcOrd="1" destOrd="0" parTransId="{32B33702-D9E3-456C-8BF2-2126590B7181}" sibTransId="{AD65DD7E-8BD5-492E-BC67-226F1CB47BF3}"/>
    <dgm:cxn modelId="{1905D876-15B6-4F3C-944B-AE8CCFBC3FAF}" type="presOf" srcId="{269D8E58-FDCF-40E8-B217-022CFCA4773C}" destId="{8B291400-1871-483E-8FC8-A452020FD47B}" srcOrd="0" destOrd="0" presId="urn:microsoft.com/office/officeart/2005/8/layout/hierarchy2"/>
    <dgm:cxn modelId="{BF88E176-9767-442E-98F8-53D4DBDF154A}" srcId="{A304DED0-C38F-4E04-A4A1-9785A9A085D4}" destId="{1F540C96-9E56-4FE5-AE0E-9A8085C0EBA0}" srcOrd="2" destOrd="0" parTransId="{BD6A7D77-CB3D-4548-8E61-240055FA08C0}" sibTransId="{0F0A84F0-1E5D-4900-AA37-9F3258BB29F4}"/>
    <dgm:cxn modelId="{4CA41D7F-28C8-44E8-A543-BB6B98FA1F53}" type="presOf" srcId="{C2728932-4B0E-449E-9FA7-948126BB06B9}" destId="{FD7EAE31-CE36-4A35-9E78-8A107ECABDD7}" srcOrd="0" destOrd="0" presId="urn:microsoft.com/office/officeart/2005/8/layout/hierarchy2"/>
    <dgm:cxn modelId="{85603383-2DDD-4A51-B887-010B2C4479C0}" type="presOf" srcId="{32B33702-D9E3-456C-8BF2-2126590B7181}" destId="{25D0FC85-07C4-47B4-8334-6DDDB2186E6C}" srcOrd="1" destOrd="0" presId="urn:microsoft.com/office/officeart/2005/8/layout/hierarchy2"/>
    <dgm:cxn modelId="{D391B385-71D4-4883-9A2C-5B78DA33D68E}" type="presOf" srcId="{A304DED0-C38F-4E04-A4A1-9785A9A085D4}" destId="{BF885F25-A08C-43F8-A67E-F13A96EC0312}" srcOrd="0" destOrd="0" presId="urn:microsoft.com/office/officeart/2005/8/layout/hierarchy2"/>
    <dgm:cxn modelId="{42143F8C-EAF9-40D4-97A5-3C67520B6CBE}" type="presOf" srcId="{C9AF5F30-6D70-4DC2-86C7-07E7C51B96CA}" destId="{760B940D-6B57-4068-93B1-AF0D426C3C89}" srcOrd="1" destOrd="0" presId="urn:microsoft.com/office/officeart/2005/8/layout/hierarchy2"/>
    <dgm:cxn modelId="{20E74199-57E8-4656-8533-440CFF81FCA0}" srcId="{C2728932-4B0E-449E-9FA7-948126BB06B9}" destId="{269D8E58-FDCF-40E8-B217-022CFCA4773C}" srcOrd="0" destOrd="0" parTransId="{5889DA3D-B3D3-47D3-A111-4698595DC0BF}" sibTransId="{0EBFD5E5-730D-432D-BC29-4504BFE7019B}"/>
    <dgm:cxn modelId="{DA82339B-EB49-4C83-85E9-6CFA78FF19AB}" type="presOf" srcId="{5889DA3D-B3D3-47D3-A111-4698595DC0BF}" destId="{9FEA13D0-1D50-4093-8007-43A36BAABACD}" srcOrd="1" destOrd="0" presId="urn:microsoft.com/office/officeart/2005/8/layout/hierarchy2"/>
    <dgm:cxn modelId="{D755799B-F580-4884-BB9E-BDE014F065B7}" type="presOf" srcId="{6899F7BA-25ED-4CB3-840C-A483DEBD82EB}" destId="{47563EC0-A2C6-45B7-BEEC-7CDF4DF8ABD6}" srcOrd="0" destOrd="0" presId="urn:microsoft.com/office/officeart/2005/8/layout/hierarchy2"/>
    <dgm:cxn modelId="{1486CABD-48A0-4508-A882-AFD670D0CE1E}" type="presOf" srcId="{0F6EE69D-CAD7-46F8-AA4A-5DF1BE8E9C30}" destId="{7F087804-E90B-46F3-B6F4-FD5756DC6619}" srcOrd="0" destOrd="0" presId="urn:microsoft.com/office/officeart/2005/8/layout/hierarchy2"/>
    <dgm:cxn modelId="{C8913AC9-4B71-4623-8ACE-C67F377C8260}" srcId="{AAF768ED-0B63-47FF-9321-1C087C18A85F}" destId="{C2728932-4B0E-449E-9FA7-948126BB06B9}" srcOrd="0" destOrd="0" parTransId="{5830C8C1-E958-4FAF-A806-9498571CA960}" sibTransId="{3245B83E-E944-451C-AC37-AEB6D783993D}"/>
    <dgm:cxn modelId="{6F35AED4-B49F-42A4-8D7E-352E7CF60E4A}" type="presOf" srcId="{5E316C04-1891-4A57-9E8A-34C0E21FEBD7}" destId="{8D882DC2-F210-417B-8605-15EF6B05B73B}" srcOrd="0" destOrd="0" presId="urn:microsoft.com/office/officeart/2005/8/layout/hierarchy2"/>
    <dgm:cxn modelId="{25067FDC-0D5A-4251-A16F-A359BE311285}" type="presOf" srcId="{1F540C96-9E56-4FE5-AE0E-9A8085C0EBA0}" destId="{FE0A7287-FCCF-4B33-92AD-39E196277592}" srcOrd="0" destOrd="0" presId="urn:microsoft.com/office/officeart/2005/8/layout/hierarchy2"/>
    <dgm:cxn modelId="{4F8B5FDD-8A9E-4099-AED0-61A508904CA2}" type="presOf" srcId="{D37DB03F-4197-45D5-819B-F64C70435429}" destId="{6CC96ECB-2FBC-4886-9B92-B04C564D597C}" srcOrd="0" destOrd="0" presId="urn:microsoft.com/office/officeart/2005/8/layout/hierarchy2"/>
    <dgm:cxn modelId="{403C42DF-FDA2-4E31-B598-69C8801AD6C9}" type="presOf" srcId="{32B33702-D9E3-456C-8BF2-2126590B7181}" destId="{E522BCB0-1076-4FA8-B7B3-FE0C1A4E3DC9}" srcOrd="0" destOrd="0" presId="urn:microsoft.com/office/officeart/2005/8/layout/hierarchy2"/>
    <dgm:cxn modelId="{14F31FE0-82A8-4DB5-9010-4A01D215B9BE}" type="presOf" srcId="{5830C8C1-E958-4FAF-A806-9498571CA960}" destId="{A69B98F0-5B43-4609-815B-3A5103B68BEE}" srcOrd="1" destOrd="0" presId="urn:microsoft.com/office/officeart/2005/8/layout/hierarchy2"/>
    <dgm:cxn modelId="{C93918E8-C2DB-47DE-B3F1-34866D4E37CC}" type="presOf" srcId="{2874D975-4306-43C4-B630-487A303C17A0}" destId="{333E0D0B-CA65-4C88-A38E-7E6ECA491969}" srcOrd="0" destOrd="0" presId="urn:microsoft.com/office/officeart/2005/8/layout/hierarchy2"/>
    <dgm:cxn modelId="{403700EA-84A1-499E-8A14-8012789CE491}" type="presOf" srcId="{C9AF5F30-6D70-4DC2-86C7-07E7C51B96CA}" destId="{EAE12946-8B52-4AA8-A75B-0BF71EF83EC8}" srcOrd="0" destOrd="0" presId="urn:microsoft.com/office/officeart/2005/8/layout/hierarchy2"/>
    <dgm:cxn modelId="{11B507F4-2D71-4485-820C-9F5D87F054E2}" type="presOf" srcId="{E6FF2FF0-2183-463A-A2BB-07BCF8F22889}" destId="{A1BBDCBE-9B2F-44C8-B303-8C7D79BCD10B}" srcOrd="1" destOrd="0" presId="urn:microsoft.com/office/officeart/2005/8/layout/hierarchy2"/>
    <dgm:cxn modelId="{72D71064-A0B0-4FF4-9391-26A536BCF143}" type="presParOf" srcId="{0D81DC30-14F8-4265-AD10-50A9D935AC69}" destId="{D6443995-A3B3-48F3-934F-87091868A1D6}" srcOrd="0" destOrd="0" presId="urn:microsoft.com/office/officeart/2005/8/layout/hierarchy2"/>
    <dgm:cxn modelId="{632E1FEB-FEAE-404F-9489-0DEB27645E8B}" type="presParOf" srcId="{D6443995-A3B3-48F3-934F-87091868A1D6}" destId="{2AAFC47A-76D5-43FB-BE5A-B93FB7B15268}" srcOrd="0" destOrd="0" presId="urn:microsoft.com/office/officeart/2005/8/layout/hierarchy2"/>
    <dgm:cxn modelId="{200AD112-F674-4903-88EC-8CDCAECABC86}" type="presParOf" srcId="{D6443995-A3B3-48F3-934F-87091868A1D6}" destId="{9F861D57-EDEE-4AF5-B258-1A279A757796}" srcOrd="1" destOrd="0" presId="urn:microsoft.com/office/officeart/2005/8/layout/hierarchy2"/>
    <dgm:cxn modelId="{9516626A-C9D5-431F-A4C9-5673D75BD7EA}" type="presParOf" srcId="{9F861D57-EDEE-4AF5-B258-1A279A757796}" destId="{725A52C0-D9E4-47DB-90D0-B28BF2F45E64}" srcOrd="0" destOrd="0" presId="urn:microsoft.com/office/officeart/2005/8/layout/hierarchy2"/>
    <dgm:cxn modelId="{FB070409-AD4E-42C7-AFFD-2F38721218E7}" type="presParOf" srcId="{725A52C0-D9E4-47DB-90D0-B28BF2F45E64}" destId="{A69B98F0-5B43-4609-815B-3A5103B68BEE}" srcOrd="0" destOrd="0" presId="urn:microsoft.com/office/officeart/2005/8/layout/hierarchy2"/>
    <dgm:cxn modelId="{2190A0B6-4CC5-4860-BE50-ACA7B0C46135}" type="presParOf" srcId="{9F861D57-EDEE-4AF5-B258-1A279A757796}" destId="{D427C7A6-0334-4BFB-856A-1B6B610135F9}" srcOrd="1" destOrd="0" presId="urn:microsoft.com/office/officeart/2005/8/layout/hierarchy2"/>
    <dgm:cxn modelId="{31EC6B55-1265-4C48-BD3C-C56129F89989}" type="presParOf" srcId="{D427C7A6-0334-4BFB-856A-1B6B610135F9}" destId="{FD7EAE31-CE36-4A35-9E78-8A107ECABDD7}" srcOrd="0" destOrd="0" presId="urn:microsoft.com/office/officeart/2005/8/layout/hierarchy2"/>
    <dgm:cxn modelId="{CB3C0773-EE68-4AB0-A29D-B7D7BCFF797A}" type="presParOf" srcId="{D427C7A6-0334-4BFB-856A-1B6B610135F9}" destId="{B6366A24-F01E-4CF7-A1FF-054962A73072}" srcOrd="1" destOrd="0" presId="urn:microsoft.com/office/officeart/2005/8/layout/hierarchy2"/>
    <dgm:cxn modelId="{5B084536-54A5-4C1E-966E-0D6CDD134348}" type="presParOf" srcId="{B6366A24-F01E-4CF7-A1FF-054962A73072}" destId="{06B4CDF9-F8EF-4D84-B225-7C7E673F9023}" srcOrd="0" destOrd="0" presId="urn:microsoft.com/office/officeart/2005/8/layout/hierarchy2"/>
    <dgm:cxn modelId="{7FB74F95-F0DD-44FE-890C-D829ED15DC6B}" type="presParOf" srcId="{06B4CDF9-F8EF-4D84-B225-7C7E673F9023}" destId="{9FEA13D0-1D50-4093-8007-43A36BAABACD}" srcOrd="0" destOrd="0" presId="urn:microsoft.com/office/officeart/2005/8/layout/hierarchy2"/>
    <dgm:cxn modelId="{4FF917D1-255B-4A88-BCDF-5D8ECDBD46D5}" type="presParOf" srcId="{B6366A24-F01E-4CF7-A1FF-054962A73072}" destId="{806D0632-A442-4793-B2E7-14E4E824E3D6}" srcOrd="1" destOrd="0" presId="urn:microsoft.com/office/officeart/2005/8/layout/hierarchy2"/>
    <dgm:cxn modelId="{7100E63C-505B-474B-9419-9B6613AD47F5}" type="presParOf" srcId="{806D0632-A442-4793-B2E7-14E4E824E3D6}" destId="{8B291400-1871-483E-8FC8-A452020FD47B}" srcOrd="0" destOrd="0" presId="urn:microsoft.com/office/officeart/2005/8/layout/hierarchy2"/>
    <dgm:cxn modelId="{AFBB10F9-550A-474A-A05F-4F96EDB06E12}" type="presParOf" srcId="{806D0632-A442-4793-B2E7-14E4E824E3D6}" destId="{B29A3301-ACBD-4DC5-96CE-E62C8E0AE261}" srcOrd="1" destOrd="0" presId="urn:microsoft.com/office/officeart/2005/8/layout/hierarchy2"/>
    <dgm:cxn modelId="{AE64FC99-7104-4B45-9017-3F9716D8D351}" type="presParOf" srcId="{B6366A24-F01E-4CF7-A1FF-054962A73072}" destId="{848044AF-F8F8-4B22-A00A-550B2E81BF39}" srcOrd="2" destOrd="0" presId="urn:microsoft.com/office/officeart/2005/8/layout/hierarchy2"/>
    <dgm:cxn modelId="{F674F2D0-650F-42C7-A7EE-F6AF0103F05A}" type="presParOf" srcId="{848044AF-F8F8-4B22-A00A-550B2E81BF39}" destId="{776B48A8-5B5A-4D38-931C-25F15E246F57}" srcOrd="0" destOrd="0" presId="urn:microsoft.com/office/officeart/2005/8/layout/hierarchy2"/>
    <dgm:cxn modelId="{326CDC66-854E-48E0-B029-2DD9510D8DBB}" type="presParOf" srcId="{B6366A24-F01E-4CF7-A1FF-054962A73072}" destId="{B8D243F9-FCF8-4A29-B287-252044153FF4}" srcOrd="3" destOrd="0" presId="urn:microsoft.com/office/officeart/2005/8/layout/hierarchy2"/>
    <dgm:cxn modelId="{F31442C4-7725-4E6F-9F05-D2736E43FE50}" type="presParOf" srcId="{B8D243F9-FCF8-4A29-B287-252044153FF4}" destId="{6CC96ECB-2FBC-4886-9B92-B04C564D597C}" srcOrd="0" destOrd="0" presId="urn:microsoft.com/office/officeart/2005/8/layout/hierarchy2"/>
    <dgm:cxn modelId="{79338B5A-08C8-41E2-98B8-A314BD8984AB}" type="presParOf" srcId="{B8D243F9-FCF8-4A29-B287-252044153FF4}" destId="{792088DE-089B-462B-8DC9-F35C28134E81}" srcOrd="1" destOrd="0" presId="urn:microsoft.com/office/officeart/2005/8/layout/hierarchy2"/>
    <dgm:cxn modelId="{738E6AFF-3516-49A8-9795-86A77FE6B177}" type="presParOf" srcId="{9F861D57-EDEE-4AF5-B258-1A279A757796}" destId="{EAE12946-8B52-4AA8-A75B-0BF71EF83EC8}" srcOrd="2" destOrd="0" presId="urn:microsoft.com/office/officeart/2005/8/layout/hierarchy2"/>
    <dgm:cxn modelId="{FBEAAD3C-FB26-470C-B214-24517351BAA9}" type="presParOf" srcId="{EAE12946-8B52-4AA8-A75B-0BF71EF83EC8}" destId="{760B940D-6B57-4068-93B1-AF0D426C3C89}" srcOrd="0" destOrd="0" presId="urn:microsoft.com/office/officeart/2005/8/layout/hierarchy2"/>
    <dgm:cxn modelId="{A2364B65-39A8-4611-8AF1-F1EC304EC72D}" type="presParOf" srcId="{9F861D57-EDEE-4AF5-B258-1A279A757796}" destId="{1C9A1899-7127-4742-8FAD-0F196D3046D4}" srcOrd="3" destOrd="0" presId="urn:microsoft.com/office/officeart/2005/8/layout/hierarchy2"/>
    <dgm:cxn modelId="{0D73683F-0239-4D82-A0CB-CC113536144A}" type="presParOf" srcId="{1C9A1899-7127-4742-8FAD-0F196D3046D4}" destId="{BF885F25-A08C-43F8-A67E-F13A96EC0312}" srcOrd="0" destOrd="0" presId="urn:microsoft.com/office/officeart/2005/8/layout/hierarchy2"/>
    <dgm:cxn modelId="{2326C63D-23E2-41AE-8225-E0294DF4042A}" type="presParOf" srcId="{1C9A1899-7127-4742-8FAD-0F196D3046D4}" destId="{D15D7678-9D2B-4F0F-BE7D-F39BD4840D77}" srcOrd="1" destOrd="0" presId="urn:microsoft.com/office/officeart/2005/8/layout/hierarchy2"/>
    <dgm:cxn modelId="{48E58E49-993C-45E7-BBE6-40947A691F4E}" type="presParOf" srcId="{D15D7678-9D2B-4F0F-BE7D-F39BD4840D77}" destId="{7F087804-E90B-46F3-B6F4-FD5756DC6619}" srcOrd="0" destOrd="0" presId="urn:microsoft.com/office/officeart/2005/8/layout/hierarchy2"/>
    <dgm:cxn modelId="{7A58241B-5186-4E4E-AF31-ABD82E07B096}" type="presParOf" srcId="{7F087804-E90B-46F3-B6F4-FD5756DC6619}" destId="{BA00065C-0FDB-4DD1-80E6-8CAC67E495CE}" srcOrd="0" destOrd="0" presId="urn:microsoft.com/office/officeart/2005/8/layout/hierarchy2"/>
    <dgm:cxn modelId="{CBD3DBD0-6EC3-456E-97E2-432A950788D1}" type="presParOf" srcId="{D15D7678-9D2B-4F0F-BE7D-F39BD4840D77}" destId="{ECDB50D1-55B8-43ED-93CE-FF05E842D10F}" srcOrd="1" destOrd="0" presId="urn:microsoft.com/office/officeart/2005/8/layout/hierarchy2"/>
    <dgm:cxn modelId="{032D4F12-9487-4DC8-A01B-5B76A0EA5048}" type="presParOf" srcId="{ECDB50D1-55B8-43ED-93CE-FF05E842D10F}" destId="{7808180C-4C0E-472A-89A7-7A15398BC195}" srcOrd="0" destOrd="0" presId="urn:microsoft.com/office/officeart/2005/8/layout/hierarchy2"/>
    <dgm:cxn modelId="{76E28A52-8AEE-45DF-8636-34F80243D518}" type="presParOf" srcId="{ECDB50D1-55B8-43ED-93CE-FF05E842D10F}" destId="{3CF28AF4-AB89-4D00-8628-03726E0879B4}" srcOrd="1" destOrd="0" presId="urn:microsoft.com/office/officeart/2005/8/layout/hierarchy2"/>
    <dgm:cxn modelId="{C138C5AD-6364-4938-B037-0143C558417F}" type="presParOf" srcId="{D15D7678-9D2B-4F0F-BE7D-F39BD4840D77}" destId="{E522BCB0-1076-4FA8-B7B3-FE0C1A4E3DC9}" srcOrd="2" destOrd="0" presId="urn:microsoft.com/office/officeart/2005/8/layout/hierarchy2"/>
    <dgm:cxn modelId="{0DCE90D5-F864-46F1-AE4C-2A538DCE8907}" type="presParOf" srcId="{E522BCB0-1076-4FA8-B7B3-FE0C1A4E3DC9}" destId="{25D0FC85-07C4-47B4-8334-6DDDB2186E6C}" srcOrd="0" destOrd="0" presId="urn:microsoft.com/office/officeart/2005/8/layout/hierarchy2"/>
    <dgm:cxn modelId="{57C8F153-EF1C-4238-BC14-D8E7F43D6044}" type="presParOf" srcId="{D15D7678-9D2B-4F0F-BE7D-F39BD4840D77}" destId="{FEF9BD96-979F-4C97-B058-A855D28162F8}" srcOrd="3" destOrd="0" presId="urn:microsoft.com/office/officeart/2005/8/layout/hierarchy2"/>
    <dgm:cxn modelId="{E2F19C2B-AEB0-474B-AE39-07ABBD8EF657}" type="presParOf" srcId="{FEF9BD96-979F-4C97-B058-A855D28162F8}" destId="{EE3DF350-29AB-439A-94F7-EF009951A8D3}" srcOrd="0" destOrd="0" presId="urn:microsoft.com/office/officeart/2005/8/layout/hierarchy2"/>
    <dgm:cxn modelId="{7B41EC8C-C0B2-499B-A9E3-6D2D2DC5A10B}" type="presParOf" srcId="{FEF9BD96-979F-4C97-B058-A855D28162F8}" destId="{3FA8231D-6DCD-48F6-8C89-2CB743A02C9E}" srcOrd="1" destOrd="0" presId="urn:microsoft.com/office/officeart/2005/8/layout/hierarchy2"/>
    <dgm:cxn modelId="{5F24F866-4AE5-40F7-AFA4-F93AEDCA119D}" type="presParOf" srcId="{D15D7678-9D2B-4F0F-BE7D-F39BD4840D77}" destId="{8789AFEB-7376-4D34-BFA5-09266A1749E3}" srcOrd="4" destOrd="0" presId="urn:microsoft.com/office/officeart/2005/8/layout/hierarchy2"/>
    <dgm:cxn modelId="{141758AA-552E-45A4-BFB8-389375BB0A59}" type="presParOf" srcId="{8789AFEB-7376-4D34-BFA5-09266A1749E3}" destId="{AB82EC2A-1A81-4BCA-BC94-62164F4B26D8}" srcOrd="0" destOrd="0" presId="urn:microsoft.com/office/officeart/2005/8/layout/hierarchy2"/>
    <dgm:cxn modelId="{0DF4769B-A218-49D7-B2CD-CE245EE5DA8A}" type="presParOf" srcId="{D15D7678-9D2B-4F0F-BE7D-F39BD4840D77}" destId="{7BCE0B33-E4FC-4DD2-B6FD-9299B20E7B13}" srcOrd="5" destOrd="0" presId="urn:microsoft.com/office/officeart/2005/8/layout/hierarchy2"/>
    <dgm:cxn modelId="{17B57A8B-6AE9-4A1B-BBEE-BFA4057BA521}" type="presParOf" srcId="{7BCE0B33-E4FC-4DD2-B6FD-9299B20E7B13}" destId="{FE0A7287-FCCF-4B33-92AD-39E196277592}" srcOrd="0" destOrd="0" presId="urn:microsoft.com/office/officeart/2005/8/layout/hierarchy2"/>
    <dgm:cxn modelId="{EB3A34B7-BD17-451F-9693-B213BC837422}" type="presParOf" srcId="{7BCE0B33-E4FC-4DD2-B6FD-9299B20E7B13}" destId="{B3C55616-08B1-433C-8E04-1BCA5261DE2E}" srcOrd="1" destOrd="0" presId="urn:microsoft.com/office/officeart/2005/8/layout/hierarchy2"/>
    <dgm:cxn modelId="{B2F7EA1C-0436-4F17-BE2C-0063E7100DA9}" type="presParOf" srcId="{D15D7678-9D2B-4F0F-BE7D-F39BD4840D77}" destId="{534C3D60-F634-402D-A242-471A89DDC607}" srcOrd="6" destOrd="0" presId="urn:microsoft.com/office/officeart/2005/8/layout/hierarchy2"/>
    <dgm:cxn modelId="{987476E7-7D7E-43FA-978F-56C974C39BEF}" type="presParOf" srcId="{534C3D60-F634-402D-A242-471A89DDC607}" destId="{A1BBDCBE-9B2F-44C8-B303-8C7D79BCD10B}" srcOrd="0" destOrd="0" presId="urn:microsoft.com/office/officeart/2005/8/layout/hierarchy2"/>
    <dgm:cxn modelId="{57569D25-C322-4BEE-837A-B0CF96E2ADB3}" type="presParOf" srcId="{D15D7678-9D2B-4F0F-BE7D-F39BD4840D77}" destId="{D80F7553-0C49-4A76-A704-66F90D6FE14E}" srcOrd="7" destOrd="0" presId="urn:microsoft.com/office/officeart/2005/8/layout/hierarchy2"/>
    <dgm:cxn modelId="{3C5D402B-F1FD-4B4B-B470-86B09ADB2C13}" type="presParOf" srcId="{D80F7553-0C49-4A76-A704-66F90D6FE14E}" destId="{333E0D0B-CA65-4C88-A38E-7E6ECA491969}" srcOrd="0" destOrd="0" presId="urn:microsoft.com/office/officeart/2005/8/layout/hierarchy2"/>
    <dgm:cxn modelId="{0B348A44-E0F3-4411-BB58-1A5DD18B07EB}" type="presParOf" srcId="{D80F7553-0C49-4A76-A704-66F90D6FE14E}" destId="{398E9ECE-B4AA-4001-BA2A-7DF859CD7E07}" srcOrd="1" destOrd="0" presId="urn:microsoft.com/office/officeart/2005/8/layout/hierarchy2"/>
    <dgm:cxn modelId="{F969C64B-CD40-4C07-8635-6EDE9913932E}" type="presParOf" srcId="{D15D7678-9D2B-4F0F-BE7D-F39BD4840D77}" destId="{8D882DC2-F210-417B-8605-15EF6B05B73B}" srcOrd="8" destOrd="0" presId="urn:microsoft.com/office/officeart/2005/8/layout/hierarchy2"/>
    <dgm:cxn modelId="{18878EBF-D610-4CA5-A0EB-DF92A529CA0C}" type="presParOf" srcId="{8D882DC2-F210-417B-8605-15EF6B05B73B}" destId="{C114CBAE-7860-4FB9-AB7A-031688AD5792}" srcOrd="0" destOrd="0" presId="urn:microsoft.com/office/officeart/2005/8/layout/hierarchy2"/>
    <dgm:cxn modelId="{67FD495F-4B4D-4501-8765-83A8DF74D9E7}" type="presParOf" srcId="{D15D7678-9D2B-4F0F-BE7D-F39BD4840D77}" destId="{1F499255-DE6D-4045-983D-9C7FECD47559}" srcOrd="9" destOrd="0" presId="urn:microsoft.com/office/officeart/2005/8/layout/hierarchy2"/>
    <dgm:cxn modelId="{E89C32AA-BA97-413A-99D3-753802FFA9CA}" type="presParOf" srcId="{1F499255-DE6D-4045-983D-9C7FECD47559}" destId="{47563EC0-A2C6-45B7-BEEC-7CDF4DF8ABD6}" srcOrd="0" destOrd="0" presId="urn:microsoft.com/office/officeart/2005/8/layout/hierarchy2"/>
    <dgm:cxn modelId="{2372310B-E231-49EF-A857-C393A03B7943}" type="presParOf" srcId="{1F499255-DE6D-4045-983D-9C7FECD47559}" destId="{34FBE324-B90D-48DF-B52A-7F9BCC22A211}"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AFC47A-76D5-43FB-BE5A-B93FB7B15268}">
      <dsp:nvSpPr>
        <dsp:cNvPr id="0" name=""/>
        <dsp:cNvSpPr/>
      </dsp:nvSpPr>
      <dsp:spPr>
        <a:xfrm>
          <a:off x="948938" y="1546065"/>
          <a:ext cx="1193334" cy="596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Product</a:t>
          </a:r>
        </a:p>
      </dsp:txBody>
      <dsp:txXfrm>
        <a:off x="966414" y="1563541"/>
        <a:ext cx="1158382" cy="561715"/>
      </dsp:txXfrm>
    </dsp:sp>
    <dsp:sp modelId="{725A52C0-D9E4-47DB-90D0-B28BF2F45E64}">
      <dsp:nvSpPr>
        <dsp:cNvPr id="0" name=""/>
        <dsp:cNvSpPr/>
      </dsp:nvSpPr>
      <dsp:spPr>
        <a:xfrm rot="17500715">
          <a:off x="1734846" y="1232620"/>
          <a:ext cx="1292188" cy="22763"/>
        </a:xfrm>
        <a:custGeom>
          <a:avLst/>
          <a:gdLst/>
          <a:ahLst/>
          <a:cxnLst/>
          <a:rect l="0" t="0" r="0" b="0"/>
          <a:pathLst>
            <a:path>
              <a:moveTo>
                <a:pt x="0" y="11381"/>
              </a:moveTo>
              <a:lnTo>
                <a:pt x="1292188"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48635" y="1211697"/>
        <a:ext cx="64609" cy="64609"/>
      </dsp:txXfrm>
    </dsp:sp>
    <dsp:sp modelId="{FD7EAE31-CE36-4A35-9E78-8A107ECABDD7}">
      <dsp:nvSpPr>
        <dsp:cNvPr id="0" name=""/>
        <dsp:cNvSpPr/>
      </dsp:nvSpPr>
      <dsp:spPr>
        <a:xfrm>
          <a:off x="2619607" y="345272"/>
          <a:ext cx="1193334" cy="596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Deposit</a:t>
          </a:r>
          <a:endParaRPr lang="en-US" sz="1300" kern="1200"/>
        </a:p>
      </dsp:txBody>
      <dsp:txXfrm>
        <a:off x="2637083" y="362748"/>
        <a:ext cx="1158382" cy="561715"/>
      </dsp:txXfrm>
    </dsp:sp>
    <dsp:sp modelId="{06B4CDF9-F8EF-4D84-B225-7C7E673F9023}">
      <dsp:nvSpPr>
        <dsp:cNvPr id="0" name=""/>
        <dsp:cNvSpPr/>
      </dsp:nvSpPr>
      <dsp:spPr>
        <a:xfrm rot="19457599">
          <a:off x="3757690" y="460682"/>
          <a:ext cx="587838" cy="22763"/>
        </a:xfrm>
        <a:custGeom>
          <a:avLst/>
          <a:gdLst/>
          <a:ahLst/>
          <a:cxnLst/>
          <a:rect l="0" t="0" r="0" b="0"/>
          <a:pathLst>
            <a:path>
              <a:moveTo>
                <a:pt x="0" y="11381"/>
              </a:moveTo>
              <a:lnTo>
                <a:pt x="587838"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36913" y="457368"/>
        <a:ext cx="29391" cy="29391"/>
      </dsp:txXfrm>
    </dsp:sp>
    <dsp:sp modelId="{8B291400-1871-483E-8FC8-A452020FD47B}">
      <dsp:nvSpPr>
        <dsp:cNvPr id="0" name=""/>
        <dsp:cNvSpPr/>
      </dsp:nvSpPr>
      <dsp:spPr>
        <a:xfrm>
          <a:off x="4290276" y="2188"/>
          <a:ext cx="1193334" cy="596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Taka Account</a:t>
          </a:r>
        </a:p>
      </dsp:txBody>
      <dsp:txXfrm>
        <a:off x="4307752" y="19664"/>
        <a:ext cx="1158382" cy="561715"/>
      </dsp:txXfrm>
    </dsp:sp>
    <dsp:sp modelId="{848044AF-F8F8-4B22-A00A-550B2E81BF39}">
      <dsp:nvSpPr>
        <dsp:cNvPr id="0" name=""/>
        <dsp:cNvSpPr/>
      </dsp:nvSpPr>
      <dsp:spPr>
        <a:xfrm rot="2142401">
          <a:off x="3757690" y="803766"/>
          <a:ext cx="587838" cy="22763"/>
        </a:xfrm>
        <a:custGeom>
          <a:avLst/>
          <a:gdLst/>
          <a:ahLst/>
          <a:cxnLst/>
          <a:rect l="0" t="0" r="0" b="0"/>
          <a:pathLst>
            <a:path>
              <a:moveTo>
                <a:pt x="0" y="11381"/>
              </a:moveTo>
              <a:lnTo>
                <a:pt x="587838"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36913" y="800451"/>
        <a:ext cx="29391" cy="29391"/>
      </dsp:txXfrm>
    </dsp:sp>
    <dsp:sp modelId="{6CC96ECB-2FBC-4886-9B92-B04C564D597C}">
      <dsp:nvSpPr>
        <dsp:cNvPr id="0" name=""/>
        <dsp:cNvSpPr/>
      </dsp:nvSpPr>
      <dsp:spPr>
        <a:xfrm>
          <a:off x="4290276" y="688356"/>
          <a:ext cx="1193334" cy="596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Foreign Currency Account</a:t>
          </a:r>
          <a:endParaRPr lang="en-US" sz="1300" kern="1200"/>
        </a:p>
      </dsp:txBody>
      <dsp:txXfrm>
        <a:off x="4307752" y="705832"/>
        <a:ext cx="1158382" cy="561715"/>
      </dsp:txXfrm>
    </dsp:sp>
    <dsp:sp modelId="{EAE12946-8B52-4AA8-A75B-0BF71EF83EC8}">
      <dsp:nvSpPr>
        <dsp:cNvPr id="0" name=""/>
        <dsp:cNvSpPr/>
      </dsp:nvSpPr>
      <dsp:spPr>
        <a:xfrm rot="4099285">
          <a:off x="1734846" y="2433414"/>
          <a:ext cx="1292188" cy="22763"/>
        </a:xfrm>
        <a:custGeom>
          <a:avLst/>
          <a:gdLst/>
          <a:ahLst/>
          <a:cxnLst/>
          <a:rect l="0" t="0" r="0" b="0"/>
          <a:pathLst>
            <a:path>
              <a:moveTo>
                <a:pt x="0" y="11381"/>
              </a:moveTo>
              <a:lnTo>
                <a:pt x="1292188"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48635" y="2412491"/>
        <a:ext cx="64609" cy="64609"/>
      </dsp:txXfrm>
    </dsp:sp>
    <dsp:sp modelId="{BF885F25-A08C-43F8-A67E-F13A96EC0312}">
      <dsp:nvSpPr>
        <dsp:cNvPr id="0" name=""/>
        <dsp:cNvSpPr/>
      </dsp:nvSpPr>
      <dsp:spPr>
        <a:xfrm>
          <a:off x="2619607" y="2746858"/>
          <a:ext cx="1193334" cy="596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Loans &amp; Advances</a:t>
          </a:r>
          <a:endParaRPr lang="en-US" sz="1300" kern="1200"/>
        </a:p>
      </dsp:txBody>
      <dsp:txXfrm>
        <a:off x="2637083" y="2764334"/>
        <a:ext cx="1158382" cy="561715"/>
      </dsp:txXfrm>
    </dsp:sp>
    <dsp:sp modelId="{7F087804-E90B-46F3-B6F4-FD5756DC6619}">
      <dsp:nvSpPr>
        <dsp:cNvPr id="0" name=""/>
        <dsp:cNvSpPr/>
      </dsp:nvSpPr>
      <dsp:spPr>
        <a:xfrm rot="17350740">
          <a:off x="3325119" y="2347643"/>
          <a:ext cx="1452980" cy="22763"/>
        </a:xfrm>
        <a:custGeom>
          <a:avLst/>
          <a:gdLst/>
          <a:ahLst/>
          <a:cxnLst/>
          <a:rect l="0" t="0" r="0" b="0"/>
          <a:pathLst>
            <a:path>
              <a:moveTo>
                <a:pt x="0" y="11381"/>
              </a:moveTo>
              <a:lnTo>
                <a:pt x="1452980"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15284" y="2322700"/>
        <a:ext cx="72649" cy="72649"/>
      </dsp:txXfrm>
    </dsp:sp>
    <dsp:sp modelId="{7808180C-4C0E-472A-89A7-7A15398BC195}">
      <dsp:nvSpPr>
        <dsp:cNvPr id="0" name=""/>
        <dsp:cNvSpPr/>
      </dsp:nvSpPr>
      <dsp:spPr>
        <a:xfrm>
          <a:off x="4290276" y="1374523"/>
          <a:ext cx="1193334" cy="596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Rural &amp; Agro Credit</a:t>
          </a:r>
          <a:endParaRPr lang="en-US" sz="1300" kern="1200"/>
        </a:p>
      </dsp:txBody>
      <dsp:txXfrm>
        <a:off x="4307752" y="1391999"/>
        <a:ext cx="1158382" cy="561715"/>
      </dsp:txXfrm>
    </dsp:sp>
    <dsp:sp modelId="{E522BCB0-1076-4FA8-B7B3-FE0C1A4E3DC9}">
      <dsp:nvSpPr>
        <dsp:cNvPr id="0" name=""/>
        <dsp:cNvSpPr/>
      </dsp:nvSpPr>
      <dsp:spPr>
        <a:xfrm rot="18289469">
          <a:off x="3633675" y="2690726"/>
          <a:ext cx="835867" cy="22763"/>
        </a:xfrm>
        <a:custGeom>
          <a:avLst/>
          <a:gdLst/>
          <a:ahLst/>
          <a:cxnLst/>
          <a:rect l="0" t="0" r="0" b="0"/>
          <a:pathLst>
            <a:path>
              <a:moveTo>
                <a:pt x="0" y="11381"/>
              </a:moveTo>
              <a:lnTo>
                <a:pt x="835867"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30712" y="2681212"/>
        <a:ext cx="41793" cy="41793"/>
      </dsp:txXfrm>
    </dsp:sp>
    <dsp:sp modelId="{EE3DF350-29AB-439A-94F7-EF009951A8D3}">
      <dsp:nvSpPr>
        <dsp:cNvPr id="0" name=""/>
        <dsp:cNvSpPr/>
      </dsp:nvSpPr>
      <dsp:spPr>
        <a:xfrm>
          <a:off x="4290276" y="2060691"/>
          <a:ext cx="1193334" cy="596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Continuous Loan</a:t>
          </a:r>
          <a:endParaRPr lang="en-US" sz="1300" kern="1200"/>
        </a:p>
      </dsp:txBody>
      <dsp:txXfrm>
        <a:off x="4307752" y="2078167"/>
        <a:ext cx="1158382" cy="561715"/>
      </dsp:txXfrm>
    </dsp:sp>
    <dsp:sp modelId="{8789AFEB-7376-4D34-BFA5-09266A1749E3}">
      <dsp:nvSpPr>
        <dsp:cNvPr id="0" name=""/>
        <dsp:cNvSpPr/>
      </dsp:nvSpPr>
      <dsp:spPr>
        <a:xfrm>
          <a:off x="3812942" y="3033810"/>
          <a:ext cx="477333" cy="22763"/>
        </a:xfrm>
        <a:custGeom>
          <a:avLst/>
          <a:gdLst/>
          <a:ahLst/>
          <a:cxnLst/>
          <a:rect l="0" t="0" r="0" b="0"/>
          <a:pathLst>
            <a:path>
              <a:moveTo>
                <a:pt x="0" y="11381"/>
              </a:moveTo>
              <a:lnTo>
                <a:pt x="477333"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39676" y="3033259"/>
        <a:ext cx="23866" cy="23866"/>
      </dsp:txXfrm>
    </dsp:sp>
    <dsp:sp modelId="{FE0A7287-FCCF-4B33-92AD-39E196277592}">
      <dsp:nvSpPr>
        <dsp:cNvPr id="0" name=""/>
        <dsp:cNvSpPr/>
      </dsp:nvSpPr>
      <dsp:spPr>
        <a:xfrm>
          <a:off x="4290276" y="2746858"/>
          <a:ext cx="1193334" cy="596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Small and Medium Enterprise Loan</a:t>
          </a:r>
          <a:endParaRPr lang="en-US" sz="1300" kern="1200"/>
        </a:p>
      </dsp:txBody>
      <dsp:txXfrm>
        <a:off x="4307752" y="2764334"/>
        <a:ext cx="1158382" cy="561715"/>
      </dsp:txXfrm>
    </dsp:sp>
    <dsp:sp modelId="{534C3D60-F634-402D-A242-471A89DDC607}">
      <dsp:nvSpPr>
        <dsp:cNvPr id="0" name=""/>
        <dsp:cNvSpPr/>
      </dsp:nvSpPr>
      <dsp:spPr>
        <a:xfrm rot="3310531">
          <a:off x="3633675" y="3376894"/>
          <a:ext cx="835867" cy="22763"/>
        </a:xfrm>
        <a:custGeom>
          <a:avLst/>
          <a:gdLst/>
          <a:ahLst/>
          <a:cxnLst/>
          <a:rect l="0" t="0" r="0" b="0"/>
          <a:pathLst>
            <a:path>
              <a:moveTo>
                <a:pt x="0" y="11381"/>
              </a:moveTo>
              <a:lnTo>
                <a:pt x="835867"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30712" y="3367379"/>
        <a:ext cx="41793" cy="41793"/>
      </dsp:txXfrm>
    </dsp:sp>
    <dsp:sp modelId="{333E0D0B-CA65-4C88-A38E-7E6ECA491969}">
      <dsp:nvSpPr>
        <dsp:cNvPr id="0" name=""/>
        <dsp:cNvSpPr/>
      </dsp:nvSpPr>
      <dsp:spPr>
        <a:xfrm>
          <a:off x="4290276" y="3433026"/>
          <a:ext cx="1193334" cy="596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Import Finance</a:t>
          </a:r>
          <a:endParaRPr lang="en-US" sz="1300" kern="1200"/>
        </a:p>
      </dsp:txBody>
      <dsp:txXfrm>
        <a:off x="4307752" y="3450502"/>
        <a:ext cx="1158382" cy="561715"/>
      </dsp:txXfrm>
    </dsp:sp>
    <dsp:sp modelId="{8D882DC2-F210-417B-8605-15EF6B05B73B}">
      <dsp:nvSpPr>
        <dsp:cNvPr id="0" name=""/>
        <dsp:cNvSpPr/>
      </dsp:nvSpPr>
      <dsp:spPr>
        <a:xfrm rot="4249260">
          <a:off x="3325119" y="3719978"/>
          <a:ext cx="1452980" cy="22763"/>
        </a:xfrm>
        <a:custGeom>
          <a:avLst/>
          <a:gdLst/>
          <a:ahLst/>
          <a:cxnLst/>
          <a:rect l="0" t="0" r="0" b="0"/>
          <a:pathLst>
            <a:path>
              <a:moveTo>
                <a:pt x="0" y="11381"/>
              </a:moveTo>
              <a:lnTo>
                <a:pt x="1452980"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15284" y="3695035"/>
        <a:ext cx="72649" cy="72649"/>
      </dsp:txXfrm>
    </dsp:sp>
    <dsp:sp modelId="{47563EC0-A2C6-45B7-BEEC-7CDF4DF8ABD6}">
      <dsp:nvSpPr>
        <dsp:cNvPr id="0" name=""/>
        <dsp:cNvSpPr/>
      </dsp:nvSpPr>
      <dsp:spPr>
        <a:xfrm>
          <a:off x="4290276" y="4119193"/>
          <a:ext cx="1193334" cy="596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Term Loan</a:t>
          </a:r>
          <a:endParaRPr lang="en-US" sz="1300" kern="1200"/>
        </a:p>
      </dsp:txBody>
      <dsp:txXfrm>
        <a:off x="4307752" y="4136669"/>
        <a:ext cx="1158382" cy="5617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2B287-65F4-4360-8678-C9DE133B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 C</dc:creator>
  <cp:keywords/>
  <dc:description/>
  <cp:lastModifiedBy>S B C</cp:lastModifiedBy>
  <cp:revision>2</cp:revision>
  <dcterms:created xsi:type="dcterms:W3CDTF">2024-10-07T10:38:00Z</dcterms:created>
  <dcterms:modified xsi:type="dcterms:W3CDTF">2024-10-07T10:38:00Z</dcterms:modified>
</cp:coreProperties>
</file>