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17.978515625" w:hRule="atLeast"/>
          <w:tblHeader w:val="0"/>
        </w:trPr>
        <w:tc>
          <w:tcPr>
            <w:shd w:fill="efefef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666666"/>
                <w:rtl w:val="0"/>
              </w:rPr>
              <w:t xml:space="preserve">Objective</w:t>
            </w:r>
          </w:p>
        </w:tc>
        <w:tc>
          <w:tcPr>
            <w:shd w:fill="efefef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666666"/>
                <w:rtl w:val="0"/>
              </w:rPr>
              <w:t xml:space="preserve">Why matters to MatchBook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Where buyers actually are in their search right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Gives real, current behavior, not a hypothetical. Also tells us who to weight more heavily (someone mid-search has sharper, more reliable answers than someone who hasn't started)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What real frustration they've hit so far (if any)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This becomes part of the experience flow and tells us what pain the product needs to visibly solve on the landing/onboarding screen.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What info they need to trust a match enough to act on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Directly shapes the ‘why you're a strong match’ explanation screen, this is the single most design-relevant question in the whole survey.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What would make them walk away from the platform entirely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Tells us what NOT to do, risk-mitigation for onboarding and verification flow.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Financing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A fit-scoring input (buyer capital vs. seller ask), not something MatchBook facilitates, just a matching attribute.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Business category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color w:val="666666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rtl w:val="0"/>
              </w:rPr>
              <w:t xml:space="preserve">Tells us if MVP's narrow niche (laundromat/landscaping/waste/dry cleaning) matches real buyer interest, or if we're too narrow.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Nunito" w:cs="Nunito" w:eastAsia="Nunito" w:hAnsi="Nunito"/>
          <w:color w:val="66666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