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Deliverable 2</w:t>
      </w:r>
    </w:p>
    <w:p>
      <w:pPr>
        <w:spacing w:after="40"/>
        <w:jc w:val="center"/>
      </w:pPr>
      <w:r>
        <w:rPr>
          <w:b/>
          <w:bCs/>
          <w:sz w:val="30"/>
          <w:szCs w:val="30"/>
        </w:rPr>
        <w:t xml:space="preserve">Corporate Financial Performance Analytics</w:t>
      </w:r>
    </w:p>
    <w:p>
      <w:pPr>
        <w:spacing w:after="40"/>
        <w:jc w:val="center"/>
      </w:pPr>
      <w:r>
        <w:rPr>
          <w:i/>
          <w:iCs/>
          <w:sz w:val="22"/>
          <w:szCs w:val="22"/>
        </w:rPr>
        <w:t xml:space="preserve">A Comparative Analysis of BP, Chevron, Shell and ExxonMobil (2022-2025)</w:t>
      </w:r>
    </w:p>
    <w:p>
      <w:pPr>
        <w:spacing w:after="400"/>
        <w:jc w:val="center"/>
      </w:pPr>
      <w:r>
        <w:rPr>
          <w:color w:val="666666"/>
          <w:sz w:val="20"/>
          <w:szCs w:val="20"/>
        </w:rPr>
        <w:t xml:space="preserve">Presenting the intermediary outputs and adjustments to the analysis framework</w:t>
      </w:r>
    </w:p>
    <w:p>
      <w:pPr>
        <w:pStyle w:val="Heading1"/>
        <w:spacing w:after="160" w:before="360"/>
      </w:pPr>
      <w:r>
        <w:rPr>
          <w:color w:val="1F3864"/>
        </w:rPr>
        <w:t xml:space="preserve">1. Introduction &amp; Scope</w:t>
      </w:r>
    </w:p>
    <w:p>
      <w:pPr>
        <w:spacing w:after="160"/>
      </w:pPr>
      <w:r>
        <w:rPr>
          <w:b w:val="false"/>
          <w:bCs w:val="false"/>
          <w:i w:val="false"/>
          <w:iCs w:val="false"/>
          <w:sz w:val="21"/>
          <w:szCs w:val="21"/>
        </w:rPr>
        <w:t xml:space="preserve">This deliverable presents the intermediary outputs of a corporate financial performance analysis covering four major integrated oil &amp; gas companies - BP, Chevron (CVX), Shell (SHEL) and ExxonMobil (XOM) - across the 2022-2025 period (16 company-year observations). The objective is to build, validate and interpret a complete financial KPI framework, and to use it to compare the four companies' profitability, liquidity, leverage, efficiency, cash generation and growth, before layering in a sector-specific reading of results appropriate to a cyclical commodity business.</w:t>
      </w:r>
    </w:p>
    <w:p>
      <w:pPr>
        <w:spacing w:after="160"/>
      </w:pPr>
      <w:r>
        <w:rPr>
          <w:b w:val="false"/>
          <w:bCs w:val="false"/>
          <w:i w:val="false"/>
          <w:iCs w:val="false"/>
          <w:sz w:val="21"/>
          <w:szCs w:val="21"/>
        </w:rPr>
        <w:t xml:space="preserve">This document is self-contained: it does not assume the reader has seen Deliverable 1.</w:t>
      </w:r>
    </w:p>
    <w:p>
      <w:pPr>
        <w:pStyle w:val="Heading1"/>
        <w:spacing w:after="160" w:before="360"/>
      </w:pPr>
      <w:r>
        <w:rPr>
          <w:color w:val="1F3864"/>
        </w:rPr>
        <w:t xml:space="preserve">2. Data &amp; Methodology</w:t>
      </w:r>
    </w:p>
    <w:p>
      <w:pPr>
        <w:spacing w:after="160"/>
      </w:pPr>
      <w:r>
        <w:rPr>
          <w:b w:val="false"/>
          <w:bCs w:val="false"/>
          <w:i w:val="false"/>
          <w:iCs w:val="false"/>
          <w:sz w:val="21"/>
          <w:szCs w:val="21"/>
        </w:rPr>
        <w:t xml:space="preserve">Financial statement data (income statement, balance sheet, cash flow statement) was sourced for all four companies and standardized into a single master dataset keyed by Ticker and Year, covering fiscal years 2022 through 2025.</w:t>
      </w:r>
    </w:p>
    <w:p>
      <w:pPr>
        <w:pStyle w:val="Heading2"/>
        <w:spacing w:after="120" w:before="260"/>
      </w:pPr>
      <w:r>
        <w:rPr>
          <w:color w:val="1F3864"/>
        </w:rPr>
        <w:t xml:space="preserve">2.1 Confirmation of the Analysis Framework</w:t>
      </w:r>
    </w:p>
    <w:p>
      <w:pPr>
        <w:spacing w:after="160"/>
      </w:pPr>
      <w:r>
        <w:rPr>
          <w:b w:val="false"/>
          <w:bCs w:val="false"/>
          <w:i w:val="false"/>
          <w:iCs w:val="false"/>
          <w:sz w:val="21"/>
          <w:szCs w:val="21"/>
        </w:rPr>
        <w:t xml:space="preserve">The KPI framework was built out across seven standard categories, for a total of roughly 27 individual indicators, summarized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3864" w:val="clear"/>
          </w:tcPr>
          <w:p>
            <w:pPr>
              <w:jc w:val="center"/>
            </w:pPr>
            <w:r>
              <w:rPr>
                <w:b/>
                <w:bCs/>
                <w:color w:val="FFFFFF"/>
                <w:sz w:val="19"/>
                <w:szCs w:val="19"/>
              </w:rPr>
              <w:t xml:space="preserve">Indicator</w:t>
            </w:r>
          </w:p>
        </w:tc>
        <w:tc>
          <w:tcPr>
            <w:tcW w:type="dxa" w:w="6600"/>
            <w:shd w:fill="1F3864" w:val="clear"/>
          </w:tcPr>
          <w:p>
            <w:pPr>
              <w:jc w:val="center"/>
            </w:pPr>
            <w:r>
              <w:rPr>
                <w:b/>
                <w:bCs/>
                <w:color w:val="FFFFFF"/>
                <w:sz w:val="19"/>
                <w:szCs w:val="19"/>
              </w:rPr>
              <w:t xml:space="preserve">Component Indicators</w:t>
            </w:r>
          </w:p>
        </w:tc>
      </w:tr>
      <w:tr>
        <w:tc>
          <w:tcPr>
            <w:tcW w:type="dxa" w:w="3000"/>
          </w:tcPr>
          <w:p>
            <w:pPr>
              <w:jc w:val="left"/>
            </w:pPr>
            <w:r>
              <w:rPr>
                <w:b w:val="false"/>
                <w:bCs w:val="false"/>
                <w:color w:val="000000"/>
                <w:sz w:val="19"/>
                <w:szCs w:val="19"/>
              </w:rPr>
              <w:t xml:space="preserve">Profitability</w:t>
            </w:r>
          </w:p>
        </w:tc>
        <w:tc>
          <w:tcPr>
            <w:tcW w:type="dxa" w:w="6600"/>
          </w:tcPr>
          <w:p>
            <w:pPr>
              <w:jc w:val="center"/>
            </w:pPr>
            <w:r>
              <w:rPr>
                <w:b w:val="false"/>
                <w:bCs w:val="false"/>
                <w:color w:val="000000"/>
                <w:sz w:val="19"/>
                <w:szCs w:val="19"/>
              </w:rPr>
              <w:t xml:space="preserve">Gross / EBITDA / EBIT / Operating / Net Margins, ROA, ROE</w:t>
            </w:r>
          </w:p>
        </w:tc>
      </w:tr>
      <w:tr>
        <w:tc>
          <w:tcPr>
            <w:tcW w:type="dxa" w:w="3000"/>
            <w:shd w:fill="F2F2F2" w:val="clear"/>
          </w:tcPr>
          <w:p>
            <w:pPr>
              <w:jc w:val="left"/>
            </w:pPr>
            <w:r>
              <w:rPr>
                <w:b w:val="false"/>
                <w:bCs w:val="false"/>
                <w:color w:val="000000"/>
                <w:sz w:val="19"/>
                <w:szCs w:val="19"/>
              </w:rPr>
              <w:t xml:space="preserve">Liquidity</w:t>
            </w:r>
          </w:p>
        </w:tc>
        <w:tc>
          <w:tcPr>
            <w:tcW w:type="dxa" w:w="6600"/>
            <w:shd w:fill="F2F2F2" w:val="clear"/>
          </w:tcPr>
          <w:p>
            <w:pPr>
              <w:jc w:val="center"/>
            </w:pPr>
            <w:r>
              <w:rPr>
                <w:b w:val="false"/>
                <w:bCs w:val="false"/>
                <w:color w:val="000000"/>
                <w:sz w:val="19"/>
                <w:szCs w:val="19"/>
              </w:rPr>
              <w:t xml:space="preserve">Current Ratio, Quick Ratio, Cash Ratio, Working Capital</w:t>
            </w:r>
          </w:p>
        </w:tc>
      </w:tr>
      <w:tr>
        <w:tc>
          <w:tcPr>
            <w:tcW w:type="dxa" w:w="3000"/>
          </w:tcPr>
          <w:p>
            <w:pPr>
              <w:jc w:val="left"/>
            </w:pPr>
            <w:r>
              <w:rPr>
                <w:b w:val="false"/>
                <w:bCs w:val="false"/>
                <w:color w:val="000000"/>
                <w:sz w:val="19"/>
                <w:szCs w:val="19"/>
              </w:rPr>
              <w:t xml:space="preserve">Leverage / Solvency</w:t>
            </w:r>
          </w:p>
        </w:tc>
        <w:tc>
          <w:tcPr>
            <w:tcW w:type="dxa" w:w="6600"/>
          </w:tcPr>
          <w:p>
            <w:pPr>
              <w:jc w:val="center"/>
            </w:pPr>
            <w:r>
              <w:rPr>
                <w:b w:val="false"/>
                <w:bCs w:val="false"/>
                <w:color w:val="000000"/>
                <w:sz w:val="19"/>
                <w:szCs w:val="19"/>
              </w:rPr>
              <w:t xml:space="preserve">Debt-to-Equity, Debt-to-Assets, Net Debt/EBITDA, Equity Ratio</w:t>
            </w:r>
          </w:p>
        </w:tc>
      </w:tr>
      <w:tr>
        <w:tc>
          <w:tcPr>
            <w:tcW w:type="dxa" w:w="3000"/>
            <w:shd w:fill="F2F2F2" w:val="clear"/>
          </w:tcPr>
          <w:p>
            <w:pPr>
              <w:jc w:val="left"/>
            </w:pPr>
            <w:r>
              <w:rPr>
                <w:b w:val="false"/>
                <w:bCs w:val="false"/>
                <w:color w:val="000000"/>
                <w:sz w:val="19"/>
                <w:szCs w:val="19"/>
              </w:rPr>
              <w:t xml:space="preserve">Interest Coverage</w:t>
            </w:r>
          </w:p>
        </w:tc>
        <w:tc>
          <w:tcPr>
            <w:tcW w:type="dxa" w:w="6600"/>
            <w:shd w:fill="F2F2F2" w:val="clear"/>
          </w:tcPr>
          <w:p>
            <w:pPr>
              <w:jc w:val="center"/>
            </w:pPr>
            <w:r>
              <w:rPr>
                <w:b w:val="false"/>
                <w:bCs w:val="false"/>
                <w:color w:val="000000"/>
                <w:sz w:val="19"/>
                <w:szCs w:val="19"/>
              </w:rPr>
              <w:t xml:space="preserve">EBIT / Interest Expense</w:t>
            </w:r>
          </w:p>
        </w:tc>
      </w:tr>
      <w:tr>
        <w:tc>
          <w:tcPr>
            <w:tcW w:type="dxa" w:w="3000"/>
          </w:tcPr>
          <w:p>
            <w:pPr>
              <w:jc w:val="left"/>
            </w:pPr>
            <w:r>
              <w:rPr>
                <w:b w:val="false"/>
                <w:bCs w:val="false"/>
                <w:color w:val="000000"/>
                <w:sz w:val="19"/>
                <w:szCs w:val="19"/>
              </w:rPr>
              <w:t xml:space="preserve">Returns</w:t>
            </w:r>
          </w:p>
        </w:tc>
        <w:tc>
          <w:tcPr>
            <w:tcW w:type="dxa" w:w="6600"/>
          </w:tcPr>
          <w:p>
            <w:pPr>
              <w:jc w:val="center"/>
            </w:pPr>
            <w:r>
              <w:rPr>
                <w:b w:val="false"/>
                <w:bCs w:val="false"/>
                <w:color w:val="000000"/>
                <w:sz w:val="19"/>
                <w:szCs w:val="19"/>
              </w:rPr>
              <w:t xml:space="preserve">ROA, ROE, ROIC (NOPAT / Invested Capital)</w:t>
            </w:r>
          </w:p>
        </w:tc>
      </w:tr>
      <w:tr>
        <w:tc>
          <w:tcPr>
            <w:tcW w:type="dxa" w:w="3000"/>
            <w:shd w:fill="F2F2F2" w:val="clear"/>
          </w:tcPr>
          <w:p>
            <w:pPr>
              <w:jc w:val="left"/>
            </w:pPr>
            <w:r>
              <w:rPr>
                <w:b w:val="false"/>
                <w:bCs w:val="false"/>
                <w:color w:val="000000"/>
                <w:sz w:val="19"/>
                <w:szCs w:val="19"/>
              </w:rPr>
              <w:t xml:space="preserve">Efficiency</w:t>
            </w:r>
          </w:p>
        </w:tc>
        <w:tc>
          <w:tcPr>
            <w:tcW w:type="dxa" w:w="6600"/>
            <w:shd w:fill="F2F2F2" w:val="clear"/>
          </w:tcPr>
          <w:p>
            <w:pPr>
              <w:jc w:val="center"/>
            </w:pPr>
            <w:r>
              <w:rPr>
                <w:b w:val="false"/>
                <w:bCs w:val="false"/>
                <w:color w:val="000000"/>
                <w:sz w:val="19"/>
                <w:szCs w:val="19"/>
              </w:rPr>
              <w:t xml:space="preserve">Asset Turnover, Inventory Turnover, Receivables Turnover, DSO, DIO</w:t>
            </w:r>
          </w:p>
        </w:tc>
      </w:tr>
      <w:tr>
        <w:tc>
          <w:tcPr>
            <w:tcW w:type="dxa" w:w="3000"/>
          </w:tcPr>
          <w:p>
            <w:pPr>
              <w:jc w:val="left"/>
            </w:pPr>
            <w:r>
              <w:rPr>
                <w:b w:val="false"/>
                <w:bCs w:val="false"/>
                <w:color w:val="000000"/>
                <w:sz w:val="19"/>
                <w:szCs w:val="19"/>
              </w:rPr>
              <w:t xml:space="preserve">Cash Flow Quality</w:t>
            </w:r>
          </w:p>
        </w:tc>
        <w:tc>
          <w:tcPr>
            <w:tcW w:type="dxa" w:w="6600"/>
          </w:tcPr>
          <w:p>
            <w:pPr>
              <w:jc w:val="center"/>
            </w:pPr>
            <w:r>
              <w:rPr>
                <w:b w:val="false"/>
                <w:bCs w:val="false"/>
                <w:color w:val="000000"/>
                <w:sz w:val="19"/>
                <w:szCs w:val="19"/>
              </w:rPr>
              <w:t xml:space="preserve">OCF Margin, FCF Margin, CapEx-to-Revenue, FCF &amp; OCF to Net Income</w:t>
            </w:r>
          </w:p>
        </w:tc>
      </w:tr>
      <w:tr>
        <w:tc>
          <w:tcPr>
            <w:tcW w:type="dxa" w:w="3000"/>
            <w:shd w:fill="F2F2F2" w:val="clear"/>
          </w:tcPr>
          <w:p>
            <w:pPr>
              <w:jc w:val="left"/>
            </w:pPr>
            <w:r>
              <w:rPr>
                <w:b w:val="false"/>
                <w:bCs w:val="false"/>
                <w:color w:val="000000"/>
                <w:sz w:val="19"/>
                <w:szCs w:val="19"/>
              </w:rPr>
              <w:t xml:space="preserve">Growth (YoY)</w:t>
            </w:r>
          </w:p>
        </w:tc>
        <w:tc>
          <w:tcPr>
            <w:tcW w:type="dxa" w:w="6600"/>
            <w:shd w:fill="F2F2F2" w:val="clear"/>
          </w:tcPr>
          <w:p>
            <w:pPr>
              <w:jc w:val="center"/>
            </w:pPr>
            <w:r>
              <w:rPr>
                <w:b w:val="false"/>
                <w:bCs w:val="false"/>
                <w:color w:val="000000"/>
                <w:sz w:val="19"/>
                <w:szCs w:val="19"/>
              </w:rPr>
              <w:t xml:space="preserve">Revenue, EBITDA, EBIT, Net Income, OCF, FCF Growth</w:t>
            </w:r>
          </w:p>
        </w:tc>
      </w:tr>
    </w:tbl>
    <w:p>
      <w:pPr>
        <w:spacing w:after="200"/>
      </w:pPr>
    </w:p>
    <w:p>
      <w:pPr>
        <w:pStyle w:val="Heading2"/>
        <w:spacing w:after="120" w:before="260"/>
      </w:pPr>
      <w:r>
        <w:rPr>
          <w:color w:val="1F3864"/>
        </w:rPr>
        <w:t xml:space="preserve">2.2 Adjustment to the Analysis Framework: Receivables Data Quality Issue</w:t>
      </w:r>
    </w:p>
    <w:p>
      <w:pPr>
        <w:spacing w:after="160"/>
      </w:pPr>
      <w:r>
        <w:rPr>
          <w:b w:val="false"/>
          <w:bCs w:val="false"/>
          <w:i w:val="false"/>
          <w:iCs w:val="false"/>
          <w:sz w:val="21"/>
          <w:szCs w:val="21"/>
        </w:rPr>
        <w:t xml:space="preserve">During validation, the standardized Receivables field was found to be fully missing for BP and Shell across all four years, while present for Chevron and ExxonMobil. Investigation of the raw balance sheet data traced the cause to inconsistent line-item naming between reporting standards: BP and Shell (both UK-listed, IFRS filers) report this line as "Accounts Receivable", while Chevron and ExxonMobil report it under "Receivables" directly.</w:t>
      </w:r>
    </w:p>
    <w:p>
      <w:pPr>
        <w:spacing w:after="160"/>
      </w:pPr>
      <w:r>
        <w:rPr>
          <w:b w:val="false"/>
          <w:bCs w:val="false"/>
          <w:i w:val="false"/>
          <w:iCs w:val="false"/>
          <w:sz w:val="21"/>
          <w:szCs w:val="21"/>
        </w:rPr>
        <w:t xml:space="preserve">This was resolved by standardizing both fields into a single Receivables column and adding a Receivables_Source column that records which original field each value was drawn from, preserving data lineage for audit purposes. This adjustment was necessary before the Efficiency ratio category (Receivables Turnover, Days Sales Outstanding) could be computed.</w:t>
      </w:r>
    </w:p>
    <w:p>
      <w:pPr>
        <w:spacing w:after="160"/>
      </w:pPr>
      <w:r>
        <w:rPr>
          <w:b w:val="false"/>
          <w:bCs w:val="false"/>
          <w:i w:val="false"/>
          <w:iCs w:val="false"/>
          <w:sz w:val="21"/>
          <w:szCs w:val="21"/>
        </w:rPr>
        <w:t xml:space="preserve">A comparable dtype adjustment (Year stored as datetime in some source tables vs. integer in others) was identified and standardized during the same validation pass.</w:t>
      </w:r>
    </w:p>
    <w:p>
      <w:pPr>
        <w:pStyle w:val="Heading1"/>
        <w:spacing w:after="160" w:before="360"/>
      </w:pPr>
      <w:r>
        <w:rPr>
          <w:color w:val="1F3864"/>
        </w:rPr>
        <w:t xml:space="preserve">3. Confirmation of Indicator Interpretation</w:t>
      </w:r>
    </w:p>
    <w:p>
      <w:pPr>
        <w:pStyle w:val="ListParagraph"/>
        <w:numPr>
          <w:ilvl w:val="0"/>
          <w:numId w:val="1"/>
        </w:numPr>
        <w:spacing w:after="80"/>
      </w:pPr>
      <w:r>
        <w:rPr>
          <w:sz w:val="21"/>
          <w:szCs w:val="21"/>
        </w:rPr>
        <w:t xml:space="preserve">Profitability margins measure how much of each revenue dollar converts into profit at successive levels of the income statement (gross, operating, EBITDA, EBIT, net).</w:t>
      </w:r>
    </w:p>
    <w:p>
      <w:pPr>
        <w:pStyle w:val="ListParagraph"/>
        <w:numPr>
          <w:ilvl w:val="0"/>
          <w:numId w:val="1"/>
        </w:numPr>
        <w:spacing w:after="80"/>
      </w:pPr>
      <w:r>
        <w:rPr>
          <w:sz w:val="21"/>
          <w:szCs w:val="21"/>
        </w:rPr>
        <w:t xml:space="preserve">Liquidity ratios (Current, Quick, Cash) measure the ability to meet short-term obligations; values above 1.0 indicate current assets exceed current liabilities.</w:t>
      </w:r>
    </w:p>
    <w:p>
      <w:pPr>
        <w:pStyle w:val="ListParagraph"/>
        <w:numPr>
          <w:ilvl w:val="0"/>
          <w:numId w:val="1"/>
        </w:numPr>
        <w:spacing w:after="80"/>
      </w:pPr>
      <w:r>
        <w:rPr>
          <w:sz w:val="21"/>
          <w:szCs w:val="21"/>
        </w:rPr>
        <w:t xml:space="preserve">Leverage ratios measure reliance on debt financing; higher Debt-to-Equity and Net Debt/EBITDA indicate greater financial risk and sensitivity to commodity price downturns.</w:t>
      </w:r>
    </w:p>
    <w:p>
      <w:pPr>
        <w:pStyle w:val="ListParagraph"/>
        <w:numPr>
          <w:ilvl w:val="0"/>
          <w:numId w:val="1"/>
        </w:numPr>
        <w:spacing w:after="80"/>
      </w:pPr>
      <w:r>
        <w:rPr>
          <w:sz w:val="21"/>
          <w:szCs w:val="21"/>
        </w:rPr>
        <w:t xml:space="preserve">ROIC (Return on Invested Capital) measures the after-tax operating return generated on the capital invested in the business (debt + equity), independent of capital structure - a cleaner cross-company comparison than ROE.</w:t>
      </w:r>
    </w:p>
    <w:p>
      <w:pPr>
        <w:pStyle w:val="ListParagraph"/>
        <w:numPr>
          <w:ilvl w:val="0"/>
          <w:numId w:val="1"/>
        </w:numPr>
        <w:spacing w:after="80"/>
      </w:pPr>
      <w:r>
        <w:rPr>
          <w:sz w:val="21"/>
          <w:szCs w:val="21"/>
        </w:rPr>
        <w:t xml:space="preserve">Efficiency ratios (Asset Turnover, DSO, DIO) measure how effectively a company converts assets and working capital into revenue.</w:t>
      </w:r>
    </w:p>
    <w:p>
      <w:pPr>
        <w:pStyle w:val="ListParagraph"/>
        <w:numPr>
          <w:ilvl w:val="0"/>
          <w:numId w:val="1"/>
        </w:numPr>
        <w:spacing w:after="80"/>
      </w:pPr>
      <w:r>
        <w:rPr>
          <w:sz w:val="21"/>
          <w:szCs w:val="21"/>
        </w:rPr>
        <w:t xml:space="preserve">Cash flow quality ratios test whether reported accounting profit is backed by real cash generation, and whether that cash is sufficient to fund the company's own capital investment program (FCF).</w:t>
      </w:r>
    </w:p>
    <w:p>
      <w:pPr>
        <w:pStyle w:val="Heading1"/>
        <w:spacing w:after="160" w:before="360"/>
      </w:pPr>
      <w:r>
        <w:rPr>
          <w:color w:val="1F3864"/>
        </w:rPr>
        <w:t xml:space="preserve">4. Visual Restitution</w:t>
      </w:r>
    </w:p>
    <w:p>
      <w:pPr>
        <w:pStyle w:val="Heading2"/>
        <w:spacing w:after="120" w:before="260"/>
      </w:pPr>
      <w:r>
        <w:rPr>
          <w:color w:val="1F3864"/>
        </w:rPr>
        <w:t xml:space="preserve">4.1 Four-Year Trend Analysis (2022-2025)</w:t>
      </w:r>
    </w:p>
    <w:p>
      <w:pPr>
        <w:spacing w:after="160"/>
      </w:pPr>
      <w:r>
        <w:rPr>
          <w:b w:val="false"/>
          <w:bCs w:val="false"/>
          <w:i w:val="false"/>
          <w:iCs w:val="false"/>
          <w:sz w:val="21"/>
          <w:szCs w:val="21"/>
        </w:rPr>
        <w:t xml:space="preserve">The chart below tracks all four companies across eight core indicators over the full period, giving a dynamic view that a single-year snapshot cannot.</w:t>
      </w:r>
    </w:p>
    <w:p>
      <w:pPr>
        <w:jc w:val="center"/>
      </w:pPr>
      <w:r>
        <w:drawing>
          <wp:inline distT="0" distB="0" distL="0" distR="0">
            <wp:extent cx="40957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286375"/>
                    </a:xfrm>
                    <a:prstGeom prst="rect">
                      <a:avLst/>
                    </a:prstGeom>
                  </pic:spPr>
                </pic:pic>
              </a:graphicData>
            </a:graphic>
          </wp:inline>
        </w:drawing>
      </w:r>
    </w:p>
    <w:p>
      <w:pPr>
        <w:spacing w:after="160"/>
      </w:pPr>
      <w:r>
        <w:rPr>
          <w:b w:val="false"/>
          <w:bCs w:val="false"/>
          <w:i/>
          <w:iCs/>
          <w:sz w:val="21"/>
          <w:szCs w:val="21"/>
        </w:rPr>
        <w:t xml:space="preserve">Reading across panels together: all four companies decline from 2022's cyclical peak, but BP stands out with a near-zero-to-negative Net Income and Net Profit Margin throughout the period, while simultaneously carrying rising Total Debt - a combination of collapsing profitability and increasing leverage that is not seen in the other three companies. Chevron and ExxonMobil show smoother, lower-volatility earnings trajectories; Shell shows the steepest revenue decline but is actively deleveraging over the same period.</w:t>
      </w:r>
    </w:p>
    <w:p>
      <w:pPr>
        <w:pStyle w:val="Heading2"/>
        <w:spacing w:after="120" w:before="260"/>
      </w:pPr>
      <w:r>
        <w:rPr>
          <w:color w:val="1F3864"/>
        </w:rPr>
        <w:t xml:space="preserve">4.2 2025 Benchmarking Table</w:t>
      </w:r>
    </w:p>
    <w:p>
      <w:pPr>
        <w:spacing w:after="160"/>
      </w:pPr>
      <w:r>
        <w:rPr>
          <w:b w:val="false"/>
          <w:bCs w:val="false"/>
          <w:i w:val="false"/>
          <w:iCs w:val="false"/>
          <w:sz w:val="21"/>
          <w:szCs w:val="21"/>
        </w:rPr>
        <w:t xml:space="preserve">A cross-sectional snapshot of the four companies on the eleven headline indicators, as of the most recent fiscal year (2025).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c>
          <w:tcPr>
            <w:tcW w:type="dxa" w:w="2600"/>
            <w:shd w:fill="1F3864" w:val="clear"/>
          </w:tcPr>
          <w:p>
            <w:pPr>
              <w:jc w:val="center"/>
            </w:pPr>
            <w:r>
              <w:rPr>
                <w:b/>
                <w:bCs/>
                <w:color w:val="FFFFFF"/>
                <w:sz w:val="19"/>
                <w:szCs w:val="19"/>
              </w:rPr>
              <w:t xml:space="preserve">Indicator</w:t>
            </w:r>
          </w:p>
        </w:tc>
        <w:tc>
          <w:tcPr>
            <w:tcW w:type="dxa" w:w="1650"/>
            <w:shd w:fill="1F3864" w:val="clear"/>
          </w:tcPr>
          <w:p>
            <w:pPr>
              <w:jc w:val="center"/>
            </w:pPr>
            <w:r>
              <w:rPr>
                <w:b/>
                <w:bCs/>
                <w:color w:val="FFFFFF"/>
                <w:sz w:val="19"/>
                <w:szCs w:val="19"/>
              </w:rPr>
              <w:t xml:space="preserve">BP</w:t>
            </w:r>
          </w:p>
        </w:tc>
        <w:tc>
          <w:tcPr>
            <w:tcW w:type="dxa" w:w="1650"/>
            <w:shd w:fill="1F3864" w:val="clear"/>
          </w:tcPr>
          <w:p>
            <w:pPr>
              <w:jc w:val="center"/>
            </w:pPr>
            <w:r>
              <w:rPr>
                <w:b/>
                <w:bCs/>
                <w:color w:val="FFFFFF"/>
                <w:sz w:val="19"/>
                <w:szCs w:val="19"/>
              </w:rPr>
              <w:t xml:space="preserve">CVX</w:t>
            </w:r>
          </w:p>
        </w:tc>
        <w:tc>
          <w:tcPr>
            <w:tcW w:type="dxa" w:w="1650"/>
            <w:shd w:fill="1F3864" w:val="clear"/>
          </w:tcPr>
          <w:p>
            <w:pPr>
              <w:jc w:val="center"/>
            </w:pPr>
            <w:r>
              <w:rPr>
                <w:b/>
                <w:bCs/>
                <w:color w:val="FFFFFF"/>
                <w:sz w:val="19"/>
                <w:szCs w:val="19"/>
              </w:rPr>
              <w:t xml:space="preserve">SHEL</w:t>
            </w:r>
          </w:p>
        </w:tc>
        <w:tc>
          <w:tcPr>
            <w:tcW w:type="dxa" w:w="1650"/>
            <w:shd w:fill="1F3864" w:val="clear"/>
          </w:tcPr>
          <w:p>
            <w:pPr>
              <w:jc w:val="center"/>
            </w:pPr>
            <w:r>
              <w:rPr>
                <w:b/>
                <w:bCs/>
                <w:color w:val="FFFFFF"/>
                <w:sz w:val="19"/>
                <w:szCs w:val="19"/>
              </w:rPr>
              <w:t xml:space="preserve">XOM</w:t>
            </w:r>
          </w:p>
        </w:tc>
      </w:tr>
      <w:tr>
        <w:tc>
          <w:tcPr>
            <w:tcW w:type="dxa" w:w="2600"/>
          </w:tcPr>
          <w:p>
            <w:pPr>
              <w:jc w:val="left"/>
            </w:pPr>
            <w:r>
              <w:rPr>
                <w:b w:val="false"/>
                <w:bCs w:val="false"/>
                <w:color w:val="000000"/>
                <w:sz w:val="19"/>
                <w:szCs w:val="19"/>
              </w:rPr>
              <w:t xml:space="preserve">Revenue Growth</w:t>
            </w:r>
          </w:p>
        </w:tc>
        <w:tc>
          <w:tcPr>
            <w:tcW w:type="dxa" w:w="1650"/>
          </w:tcPr>
          <w:p>
            <w:pPr>
              <w:jc w:val="center"/>
            </w:pPr>
            <w:r>
              <w:rPr>
                <w:b w:val="false"/>
                <w:bCs w:val="false"/>
                <w:color w:val="000000"/>
                <w:sz w:val="19"/>
                <w:szCs w:val="19"/>
              </w:rPr>
              <w:t xml:space="preserve">0.08%</w:t>
            </w:r>
          </w:p>
        </w:tc>
        <w:tc>
          <w:tcPr>
            <w:tcW w:type="dxa" w:w="1650"/>
          </w:tcPr>
          <w:p>
            <w:pPr>
              <w:jc w:val="center"/>
            </w:pPr>
            <w:r>
              <w:rPr>
                <w:b w:val="false"/>
                <w:bCs w:val="false"/>
                <w:color w:val="000000"/>
                <w:sz w:val="19"/>
                <w:szCs w:val="19"/>
              </w:rPr>
              <w:t xml:space="preserve">-4.64%</w:t>
            </w:r>
          </w:p>
        </w:tc>
        <w:tc>
          <w:tcPr>
            <w:tcW w:type="dxa" w:w="1650"/>
          </w:tcPr>
          <w:p>
            <w:pPr>
              <w:jc w:val="center"/>
            </w:pPr>
            <w:r>
              <w:rPr>
                <w:b w:val="false"/>
                <w:bCs w:val="false"/>
                <w:color w:val="000000"/>
                <w:sz w:val="19"/>
                <w:szCs w:val="19"/>
              </w:rPr>
              <w:t xml:space="preserve">-6.13%</w:t>
            </w:r>
          </w:p>
        </w:tc>
        <w:tc>
          <w:tcPr>
            <w:tcW w:type="dxa" w:w="1650"/>
          </w:tcPr>
          <w:p>
            <w:pPr>
              <w:jc w:val="center"/>
            </w:pPr>
            <w:r>
              <w:rPr>
                <w:b w:val="false"/>
                <w:bCs w:val="false"/>
                <w:color w:val="000000"/>
                <w:sz w:val="19"/>
                <w:szCs w:val="19"/>
              </w:rPr>
              <w:t xml:space="preserve">-4.52%</w:t>
            </w:r>
          </w:p>
        </w:tc>
      </w:tr>
      <w:tr>
        <w:tc>
          <w:tcPr>
            <w:tcW w:type="dxa" w:w="2600"/>
            <w:shd w:fill="F2F2F2" w:val="clear"/>
          </w:tcPr>
          <w:p>
            <w:pPr>
              <w:jc w:val="left"/>
            </w:pPr>
            <w:r>
              <w:rPr>
                <w:b w:val="false"/>
                <w:bCs w:val="false"/>
                <w:color w:val="000000"/>
                <w:sz w:val="19"/>
                <w:szCs w:val="19"/>
              </w:rPr>
              <w:t xml:space="preserve">EBITDA Margin</w:t>
            </w:r>
          </w:p>
        </w:tc>
        <w:tc>
          <w:tcPr>
            <w:tcW w:type="dxa" w:w="1650"/>
            <w:shd w:fill="F2F2F2" w:val="clear"/>
          </w:tcPr>
          <w:p>
            <w:pPr>
              <w:jc w:val="center"/>
            </w:pPr>
            <w:r>
              <w:rPr>
                <w:b w:val="false"/>
                <w:bCs w:val="false"/>
                <w:color w:val="000000"/>
                <w:sz w:val="19"/>
                <w:szCs w:val="19"/>
              </w:rPr>
              <w:t xml:space="preserve">16.21%</w:t>
            </w:r>
          </w:p>
        </w:tc>
        <w:tc>
          <w:tcPr>
            <w:tcW w:type="dxa" w:w="1650"/>
            <w:shd w:fill="F2F2F2" w:val="clear"/>
          </w:tcPr>
          <w:p>
            <w:pPr>
              <w:jc w:val="center"/>
            </w:pPr>
            <w:r>
              <w:rPr>
                <w:b w:val="false"/>
                <w:bCs w:val="false"/>
                <w:color w:val="000000"/>
                <w:sz w:val="19"/>
                <w:szCs w:val="19"/>
              </w:rPr>
              <w:t xml:space="preserve">22.46%</w:t>
            </w:r>
          </w:p>
        </w:tc>
        <w:tc>
          <w:tcPr>
            <w:tcW w:type="dxa" w:w="1650"/>
            <w:shd w:fill="F2F2F2" w:val="clear"/>
          </w:tcPr>
          <w:p>
            <w:pPr>
              <w:jc w:val="center"/>
            </w:pPr>
            <w:r>
              <w:rPr>
                <w:b w:val="false"/>
                <w:bCs w:val="false"/>
                <w:color w:val="000000"/>
                <w:sz w:val="19"/>
                <w:szCs w:val="19"/>
              </w:rPr>
              <w:t xml:space="preserve">21.23%</w:t>
            </w:r>
          </w:p>
        </w:tc>
        <w:tc>
          <w:tcPr>
            <w:tcW w:type="dxa" w:w="1650"/>
            <w:shd w:fill="F2F2F2" w:val="clear"/>
          </w:tcPr>
          <w:p>
            <w:pPr>
              <w:jc w:val="center"/>
            </w:pPr>
            <w:r>
              <w:rPr>
                <w:b w:val="false"/>
                <w:bCs w:val="false"/>
                <w:color w:val="000000"/>
                <w:sz w:val="19"/>
                <w:szCs w:val="19"/>
              </w:rPr>
              <w:t xml:space="preserve">20.95%</w:t>
            </w:r>
          </w:p>
        </w:tc>
      </w:tr>
      <w:tr>
        <w:tc>
          <w:tcPr>
            <w:tcW w:type="dxa" w:w="2600"/>
          </w:tcPr>
          <w:p>
            <w:pPr>
              <w:jc w:val="left"/>
            </w:pPr>
            <w:r>
              <w:rPr>
                <w:b w:val="false"/>
                <w:bCs w:val="false"/>
                <w:color w:val="000000"/>
                <w:sz w:val="19"/>
                <w:szCs w:val="19"/>
              </w:rPr>
              <w:t xml:space="preserve">Net Profit Margin</w:t>
            </w:r>
          </w:p>
        </w:tc>
        <w:tc>
          <w:tcPr>
            <w:tcW w:type="dxa" w:w="1650"/>
          </w:tcPr>
          <w:p>
            <w:pPr>
              <w:jc w:val="center"/>
            </w:pPr>
            <w:r>
              <w:rPr>
                <w:b w:val="false"/>
                <w:bCs w:val="false"/>
                <w:color w:val="000000"/>
                <w:sz w:val="19"/>
                <w:szCs w:val="19"/>
              </w:rPr>
              <w:t xml:space="preserve">0.03%</w:t>
            </w:r>
          </w:p>
        </w:tc>
        <w:tc>
          <w:tcPr>
            <w:tcW w:type="dxa" w:w="1650"/>
          </w:tcPr>
          <w:p>
            <w:pPr>
              <w:jc w:val="center"/>
            </w:pPr>
            <w:r>
              <w:rPr>
                <w:b w:val="false"/>
                <w:bCs w:val="false"/>
                <w:color w:val="000000"/>
                <w:sz w:val="19"/>
                <w:szCs w:val="19"/>
              </w:rPr>
              <w:t xml:space="preserve">6.67%</w:t>
            </w:r>
          </w:p>
        </w:tc>
        <w:tc>
          <w:tcPr>
            <w:tcW w:type="dxa" w:w="1650"/>
          </w:tcPr>
          <w:p>
            <w:pPr>
              <w:jc w:val="center"/>
            </w:pPr>
            <w:r>
              <w:rPr>
                <w:b w:val="false"/>
                <w:bCs w:val="false"/>
                <w:color w:val="000000"/>
                <w:sz w:val="19"/>
                <w:szCs w:val="19"/>
              </w:rPr>
              <w:t xml:space="preserve">6.68%</w:t>
            </w:r>
          </w:p>
        </w:tc>
        <w:tc>
          <w:tcPr>
            <w:tcW w:type="dxa" w:w="1650"/>
          </w:tcPr>
          <w:p>
            <w:pPr>
              <w:jc w:val="center"/>
            </w:pPr>
            <w:r>
              <w:rPr>
                <w:b w:val="false"/>
                <w:bCs w:val="false"/>
                <w:color w:val="000000"/>
                <w:sz w:val="19"/>
                <w:szCs w:val="19"/>
              </w:rPr>
              <w:t xml:space="preserve">8.91%</w:t>
            </w:r>
          </w:p>
        </w:tc>
      </w:tr>
      <w:tr>
        <w:tc>
          <w:tcPr>
            <w:tcW w:type="dxa" w:w="2600"/>
            <w:shd w:fill="F2F2F2" w:val="clear"/>
          </w:tcPr>
          <w:p>
            <w:pPr>
              <w:jc w:val="left"/>
            </w:pPr>
            <w:r>
              <w:rPr>
                <w:b w:val="false"/>
                <w:bCs w:val="false"/>
                <w:color w:val="000000"/>
                <w:sz w:val="19"/>
                <w:szCs w:val="19"/>
              </w:rPr>
              <w:t xml:space="preserve">ROA</w:t>
            </w:r>
          </w:p>
        </w:tc>
        <w:tc>
          <w:tcPr>
            <w:tcW w:type="dxa" w:w="1650"/>
            <w:shd w:fill="F2F2F2" w:val="clear"/>
          </w:tcPr>
          <w:p>
            <w:pPr>
              <w:jc w:val="center"/>
            </w:pPr>
            <w:r>
              <w:rPr>
                <w:b w:val="false"/>
                <w:bCs w:val="false"/>
                <w:color w:val="000000"/>
                <w:sz w:val="19"/>
                <w:szCs w:val="19"/>
              </w:rPr>
              <w:t xml:space="preserve">0.02%</w:t>
            </w:r>
          </w:p>
        </w:tc>
        <w:tc>
          <w:tcPr>
            <w:tcW w:type="dxa" w:w="1650"/>
            <w:shd w:fill="F2F2F2" w:val="clear"/>
          </w:tcPr>
          <w:p>
            <w:pPr>
              <w:jc w:val="center"/>
            </w:pPr>
            <w:r>
              <w:rPr>
                <w:b w:val="false"/>
                <w:bCs w:val="false"/>
                <w:color w:val="000000"/>
                <w:sz w:val="19"/>
                <w:szCs w:val="19"/>
              </w:rPr>
              <w:t xml:space="preserve">3.80%</w:t>
            </w:r>
          </w:p>
        </w:tc>
        <w:tc>
          <w:tcPr>
            <w:tcW w:type="dxa" w:w="1650"/>
            <w:shd w:fill="F2F2F2" w:val="clear"/>
          </w:tcPr>
          <w:p>
            <w:pPr>
              <w:jc w:val="center"/>
            </w:pPr>
            <w:r>
              <w:rPr>
                <w:b w:val="false"/>
                <w:bCs w:val="false"/>
                <w:color w:val="000000"/>
                <w:sz w:val="19"/>
                <w:szCs w:val="19"/>
              </w:rPr>
              <w:t xml:space="preserve">4.82%</w:t>
            </w:r>
          </w:p>
        </w:tc>
        <w:tc>
          <w:tcPr>
            <w:tcW w:type="dxa" w:w="1650"/>
            <w:shd w:fill="F2F2F2" w:val="clear"/>
          </w:tcPr>
          <w:p>
            <w:pPr>
              <w:jc w:val="center"/>
            </w:pPr>
            <w:r>
              <w:rPr>
                <w:b w:val="false"/>
                <w:bCs w:val="false"/>
                <w:color w:val="000000"/>
                <w:sz w:val="19"/>
                <w:szCs w:val="19"/>
              </w:rPr>
              <w:t xml:space="preserve">6.42%</w:t>
            </w:r>
          </w:p>
        </w:tc>
      </w:tr>
      <w:tr>
        <w:tc>
          <w:tcPr>
            <w:tcW w:type="dxa" w:w="2600"/>
          </w:tcPr>
          <w:p>
            <w:pPr>
              <w:jc w:val="left"/>
            </w:pPr>
            <w:r>
              <w:rPr>
                <w:b w:val="false"/>
                <w:bCs w:val="false"/>
                <w:color w:val="000000"/>
                <w:sz w:val="19"/>
                <w:szCs w:val="19"/>
              </w:rPr>
              <w:t xml:space="preserve">ROE</w:t>
            </w:r>
          </w:p>
        </w:tc>
        <w:tc>
          <w:tcPr>
            <w:tcW w:type="dxa" w:w="1650"/>
          </w:tcPr>
          <w:p>
            <w:pPr>
              <w:jc w:val="center"/>
            </w:pPr>
            <w:r>
              <w:rPr>
                <w:b w:val="false"/>
                <w:bCs w:val="false"/>
                <w:color w:val="000000"/>
                <w:sz w:val="19"/>
                <w:szCs w:val="19"/>
              </w:rPr>
              <w:t xml:space="preserve">0.10%</w:t>
            </w:r>
          </w:p>
        </w:tc>
        <w:tc>
          <w:tcPr>
            <w:tcW w:type="dxa" w:w="1650"/>
          </w:tcPr>
          <w:p>
            <w:pPr>
              <w:jc w:val="center"/>
            </w:pPr>
            <w:r>
              <w:rPr>
                <w:b w:val="false"/>
                <w:bCs w:val="false"/>
                <w:color w:val="000000"/>
                <w:sz w:val="19"/>
                <w:szCs w:val="19"/>
              </w:rPr>
              <w:t xml:space="preserve">6.60%</w:t>
            </w:r>
          </w:p>
        </w:tc>
        <w:tc>
          <w:tcPr>
            <w:tcW w:type="dxa" w:w="1650"/>
          </w:tcPr>
          <w:p>
            <w:pPr>
              <w:jc w:val="center"/>
            </w:pPr>
            <w:r>
              <w:rPr>
                <w:b w:val="false"/>
                <w:bCs w:val="false"/>
                <w:color w:val="000000"/>
                <w:sz w:val="19"/>
                <w:szCs w:val="19"/>
              </w:rPr>
              <w:t xml:space="preserve">10.23%</w:t>
            </w:r>
          </w:p>
        </w:tc>
        <w:tc>
          <w:tcPr>
            <w:tcW w:type="dxa" w:w="1650"/>
          </w:tcPr>
          <w:p>
            <w:pPr>
              <w:jc w:val="center"/>
            </w:pPr>
            <w:r>
              <w:rPr>
                <w:b w:val="false"/>
                <w:bCs w:val="false"/>
                <w:color w:val="000000"/>
                <w:sz w:val="19"/>
                <w:szCs w:val="19"/>
              </w:rPr>
              <w:t xml:space="preserve">11.12%</w:t>
            </w:r>
          </w:p>
        </w:tc>
      </w:tr>
      <w:tr>
        <w:tc>
          <w:tcPr>
            <w:tcW w:type="dxa" w:w="2600"/>
            <w:shd w:fill="F2F2F2" w:val="clear"/>
          </w:tcPr>
          <w:p>
            <w:pPr>
              <w:jc w:val="left"/>
            </w:pPr>
            <w:r>
              <w:rPr>
                <w:b w:val="false"/>
                <w:bCs w:val="false"/>
                <w:color w:val="000000"/>
                <w:sz w:val="19"/>
                <w:szCs w:val="19"/>
              </w:rPr>
              <w:t xml:space="preserve">ROIC</w:t>
            </w:r>
          </w:p>
        </w:tc>
        <w:tc>
          <w:tcPr>
            <w:tcW w:type="dxa" w:w="1650"/>
            <w:shd w:fill="F2F2F2" w:val="clear"/>
          </w:tcPr>
          <w:p>
            <w:pPr>
              <w:jc w:val="center"/>
            </w:pPr>
            <w:r>
              <w:rPr>
                <w:b w:val="false"/>
                <w:bCs w:val="false"/>
                <w:color w:val="000000"/>
                <w:sz w:val="19"/>
                <w:szCs w:val="19"/>
              </w:rPr>
              <w:t xml:space="preserve">7.69%</w:t>
            </w:r>
          </w:p>
        </w:tc>
        <w:tc>
          <w:tcPr>
            <w:tcW w:type="dxa" w:w="1650"/>
            <w:shd w:fill="F2F2F2" w:val="clear"/>
          </w:tcPr>
          <w:p>
            <w:pPr>
              <w:jc w:val="center"/>
            </w:pPr>
            <w:r>
              <w:rPr>
                <w:b w:val="false"/>
                <w:bCs w:val="false"/>
                <w:color w:val="000000"/>
                <w:sz w:val="19"/>
                <w:szCs w:val="19"/>
              </w:rPr>
              <w:t xml:space="preserve">5.83%</w:t>
            </w:r>
          </w:p>
        </w:tc>
        <w:tc>
          <w:tcPr>
            <w:tcW w:type="dxa" w:w="1650"/>
            <w:shd w:fill="F2F2F2" w:val="clear"/>
          </w:tcPr>
          <w:p>
            <w:pPr>
              <w:jc w:val="center"/>
            </w:pPr>
            <w:r>
              <w:rPr>
                <w:b w:val="false"/>
                <w:bCs w:val="false"/>
                <w:color w:val="000000"/>
                <w:sz w:val="19"/>
                <w:szCs w:val="19"/>
              </w:rPr>
              <w:t xml:space="preserve">8.42%</w:t>
            </w:r>
          </w:p>
        </w:tc>
        <w:tc>
          <w:tcPr>
            <w:tcW w:type="dxa" w:w="1650"/>
            <w:shd w:fill="F2F2F2" w:val="clear"/>
          </w:tcPr>
          <w:p>
            <w:pPr>
              <w:jc w:val="center"/>
            </w:pPr>
            <w:r>
              <w:rPr>
                <w:b w:val="false"/>
                <w:bCs w:val="false"/>
                <w:color w:val="000000"/>
                <w:sz w:val="19"/>
                <w:szCs w:val="19"/>
              </w:rPr>
              <w:t xml:space="preserve">9.54%</w:t>
            </w:r>
          </w:p>
        </w:tc>
      </w:tr>
      <w:tr>
        <w:tc>
          <w:tcPr>
            <w:tcW w:type="dxa" w:w="2600"/>
          </w:tcPr>
          <w:p>
            <w:pPr>
              <w:jc w:val="left"/>
            </w:pPr>
            <w:r>
              <w:rPr>
                <w:b w:val="false"/>
                <w:bCs w:val="false"/>
                <w:color w:val="000000"/>
                <w:sz w:val="19"/>
                <w:szCs w:val="19"/>
              </w:rPr>
              <w:t xml:space="preserve">Current Ratio</w:t>
            </w:r>
          </w:p>
        </w:tc>
        <w:tc>
          <w:tcPr>
            <w:tcW w:type="dxa" w:w="1650"/>
          </w:tcPr>
          <w:p>
            <w:pPr>
              <w:jc w:val="center"/>
            </w:pPr>
            <w:r>
              <w:rPr>
                <w:b w:val="false"/>
                <w:bCs w:val="false"/>
                <w:color w:val="000000"/>
                <w:sz w:val="19"/>
                <w:szCs w:val="19"/>
              </w:rPr>
              <w:t xml:space="preserve">1.26x</w:t>
            </w:r>
          </w:p>
        </w:tc>
        <w:tc>
          <w:tcPr>
            <w:tcW w:type="dxa" w:w="1650"/>
          </w:tcPr>
          <w:p>
            <w:pPr>
              <w:jc w:val="center"/>
            </w:pPr>
            <w:r>
              <w:rPr>
                <w:b w:val="false"/>
                <w:bCs w:val="false"/>
                <w:color w:val="000000"/>
                <w:sz w:val="19"/>
                <w:szCs w:val="19"/>
              </w:rPr>
              <w:t xml:space="preserve">1.15x</w:t>
            </w:r>
          </w:p>
        </w:tc>
        <w:tc>
          <w:tcPr>
            <w:tcW w:type="dxa" w:w="1650"/>
          </w:tcPr>
          <w:p>
            <w:pPr>
              <w:jc w:val="center"/>
            </w:pPr>
            <w:r>
              <w:rPr>
                <w:b w:val="false"/>
                <w:bCs w:val="false"/>
                <w:color w:val="000000"/>
                <w:sz w:val="19"/>
                <w:szCs w:val="19"/>
              </w:rPr>
              <w:t xml:space="preserve">1.30x</w:t>
            </w:r>
          </w:p>
        </w:tc>
        <w:tc>
          <w:tcPr>
            <w:tcW w:type="dxa" w:w="1650"/>
          </w:tcPr>
          <w:p>
            <w:pPr>
              <w:jc w:val="center"/>
            </w:pPr>
            <w:r>
              <w:rPr>
                <w:b w:val="false"/>
                <w:bCs w:val="false"/>
                <w:color w:val="000000"/>
                <w:sz w:val="19"/>
                <w:szCs w:val="19"/>
              </w:rPr>
              <w:t xml:space="preserve">1.15x</w:t>
            </w:r>
          </w:p>
        </w:tc>
      </w:tr>
      <w:tr>
        <w:tc>
          <w:tcPr>
            <w:tcW w:type="dxa" w:w="2600"/>
            <w:shd w:fill="F2F2F2" w:val="clear"/>
          </w:tcPr>
          <w:p>
            <w:pPr>
              <w:jc w:val="left"/>
            </w:pPr>
            <w:r>
              <w:rPr>
                <w:b w:val="false"/>
                <w:bCs w:val="false"/>
                <w:color w:val="000000"/>
                <w:sz w:val="19"/>
                <w:szCs w:val="19"/>
              </w:rPr>
              <w:t xml:space="preserve">Debt / Equity</w:t>
            </w:r>
          </w:p>
        </w:tc>
        <w:tc>
          <w:tcPr>
            <w:tcW w:type="dxa" w:w="1650"/>
            <w:shd w:fill="F2F2F2" w:val="clear"/>
          </w:tcPr>
          <w:p>
            <w:pPr>
              <w:jc w:val="center"/>
            </w:pPr>
            <w:r>
              <w:rPr>
                <w:b w:val="false"/>
                <w:bCs w:val="false"/>
                <w:color w:val="000000"/>
                <w:sz w:val="19"/>
                <w:szCs w:val="19"/>
              </w:rPr>
              <w:t xml:space="preserve">1.37x</w:t>
            </w:r>
          </w:p>
        </w:tc>
        <w:tc>
          <w:tcPr>
            <w:tcW w:type="dxa" w:w="1650"/>
            <w:shd w:fill="F2F2F2" w:val="clear"/>
          </w:tcPr>
          <w:p>
            <w:pPr>
              <w:jc w:val="center"/>
            </w:pPr>
            <w:r>
              <w:rPr>
                <w:b w:val="false"/>
                <w:bCs w:val="false"/>
                <w:color w:val="000000"/>
                <w:sz w:val="19"/>
                <w:szCs w:val="19"/>
              </w:rPr>
              <w:t xml:space="preserve">0.22x</w:t>
            </w:r>
          </w:p>
        </w:tc>
        <w:tc>
          <w:tcPr>
            <w:tcW w:type="dxa" w:w="1650"/>
            <w:shd w:fill="F2F2F2" w:val="clear"/>
          </w:tcPr>
          <w:p>
            <w:pPr>
              <w:jc w:val="center"/>
            </w:pPr>
            <w:r>
              <w:rPr>
                <w:b w:val="false"/>
                <w:bCs w:val="false"/>
                <w:color w:val="000000"/>
                <w:sz w:val="19"/>
                <w:szCs w:val="19"/>
              </w:rPr>
              <w:t xml:space="preserve">0.43x</w:t>
            </w:r>
          </w:p>
        </w:tc>
        <w:tc>
          <w:tcPr>
            <w:tcW w:type="dxa" w:w="1650"/>
            <w:shd w:fill="F2F2F2" w:val="clear"/>
          </w:tcPr>
          <w:p>
            <w:pPr>
              <w:jc w:val="center"/>
            </w:pPr>
            <w:r>
              <w:rPr>
                <w:b w:val="false"/>
                <w:bCs w:val="false"/>
                <w:color w:val="000000"/>
                <w:sz w:val="19"/>
                <w:szCs w:val="19"/>
              </w:rPr>
              <w:t xml:space="preserve">0.17x</w:t>
            </w:r>
          </w:p>
        </w:tc>
      </w:tr>
      <w:tr>
        <w:tc>
          <w:tcPr>
            <w:tcW w:type="dxa" w:w="2600"/>
          </w:tcPr>
          <w:p>
            <w:pPr>
              <w:jc w:val="left"/>
            </w:pPr>
            <w:r>
              <w:rPr>
                <w:b w:val="false"/>
                <w:bCs w:val="false"/>
                <w:color w:val="000000"/>
                <w:sz w:val="19"/>
                <w:szCs w:val="19"/>
              </w:rPr>
              <w:t xml:space="preserve">Net Debt / EBITDA</w:t>
            </w:r>
          </w:p>
        </w:tc>
        <w:tc>
          <w:tcPr>
            <w:tcW w:type="dxa" w:w="1650"/>
          </w:tcPr>
          <w:p>
            <w:pPr>
              <w:jc w:val="center"/>
            </w:pPr>
            <w:r>
              <w:rPr>
                <w:b w:val="false"/>
                <w:bCs w:val="false"/>
                <w:color w:val="000000"/>
                <w:sz w:val="19"/>
                <w:szCs w:val="19"/>
              </w:rPr>
              <w:t xml:space="preserve">0.70x</w:t>
            </w:r>
          </w:p>
        </w:tc>
        <w:tc>
          <w:tcPr>
            <w:tcW w:type="dxa" w:w="1650"/>
          </w:tcPr>
          <w:p>
            <w:pPr>
              <w:jc w:val="center"/>
            </w:pPr>
            <w:r>
              <w:rPr>
                <w:b w:val="false"/>
                <w:bCs w:val="false"/>
                <w:color w:val="000000"/>
                <w:sz w:val="19"/>
                <w:szCs w:val="19"/>
              </w:rPr>
              <w:t xml:space="preserve">0.80x</w:t>
            </w:r>
          </w:p>
        </w:tc>
        <w:tc>
          <w:tcPr>
            <w:tcW w:type="dxa" w:w="1650"/>
          </w:tcPr>
          <w:p>
            <w:pPr>
              <w:jc w:val="center"/>
            </w:pPr>
            <w:r>
              <w:rPr>
                <w:b w:val="false"/>
                <w:bCs w:val="false"/>
                <w:color w:val="000000"/>
                <w:sz w:val="19"/>
                <w:szCs w:val="19"/>
              </w:rPr>
              <w:t xml:space="preserve">0.30x</w:t>
            </w:r>
          </w:p>
        </w:tc>
        <w:tc>
          <w:tcPr>
            <w:tcW w:type="dxa" w:w="1650"/>
          </w:tcPr>
          <w:p>
            <w:pPr>
              <w:jc w:val="center"/>
            </w:pPr>
            <w:r>
              <w:rPr>
                <w:b w:val="false"/>
                <w:bCs w:val="false"/>
                <w:color w:val="000000"/>
                <w:sz w:val="19"/>
                <w:szCs w:val="19"/>
              </w:rPr>
              <w:t xml:space="preserve">0.39x</w:t>
            </w:r>
          </w:p>
        </w:tc>
      </w:tr>
      <w:tr>
        <w:tc>
          <w:tcPr>
            <w:tcW w:type="dxa" w:w="2600"/>
            <w:shd w:fill="F2F2F2" w:val="clear"/>
          </w:tcPr>
          <w:p>
            <w:pPr>
              <w:jc w:val="left"/>
            </w:pPr>
            <w:r>
              <w:rPr>
                <w:b w:val="false"/>
                <w:bCs w:val="false"/>
                <w:color w:val="000000"/>
                <w:sz w:val="19"/>
                <w:szCs w:val="19"/>
              </w:rPr>
              <w:t xml:space="preserve">FCF Margin</w:t>
            </w:r>
          </w:p>
        </w:tc>
        <w:tc>
          <w:tcPr>
            <w:tcW w:type="dxa" w:w="1650"/>
            <w:shd w:fill="F2F2F2" w:val="clear"/>
          </w:tcPr>
          <w:p>
            <w:pPr>
              <w:jc w:val="center"/>
            </w:pPr>
            <w:r>
              <w:rPr>
                <w:b w:val="false"/>
                <w:bCs w:val="false"/>
                <w:color w:val="000000"/>
                <w:sz w:val="19"/>
                <w:szCs w:val="19"/>
              </w:rPr>
              <w:t xml:space="preserve">5.95%</w:t>
            </w:r>
          </w:p>
        </w:tc>
        <w:tc>
          <w:tcPr>
            <w:tcW w:type="dxa" w:w="1650"/>
            <w:shd w:fill="F2F2F2" w:val="clear"/>
          </w:tcPr>
          <w:p>
            <w:pPr>
              <w:jc w:val="center"/>
            </w:pPr>
            <w:r>
              <w:rPr>
                <w:b w:val="false"/>
                <w:bCs w:val="false"/>
                <w:color w:val="000000"/>
                <w:sz w:val="19"/>
                <w:szCs w:val="19"/>
              </w:rPr>
              <w:t xml:space="preserve">9.00%</w:t>
            </w:r>
          </w:p>
        </w:tc>
        <w:tc>
          <w:tcPr>
            <w:tcW w:type="dxa" w:w="1650"/>
            <w:shd w:fill="F2F2F2" w:val="clear"/>
          </w:tcPr>
          <w:p>
            <w:pPr>
              <w:jc w:val="center"/>
            </w:pPr>
            <w:r>
              <w:rPr>
                <w:b w:val="false"/>
                <w:bCs w:val="false"/>
                <w:color w:val="000000"/>
                <w:sz w:val="19"/>
                <w:szCs w:val="19"/>
              </w:rPr>
              <w:t xml:space="preserve">8.96%</w:t>
            </w:r>
          </w:p>
        </w:tc>
        <w:tc>
          <w:tcPr>
            <w:tcW w:type="dxa" w:w="1650"/>
            <w:shd w:fill="F2F2F2" w:val="clear"/>
          </w:tcPr>
          <w:p>
            <w:pPr>
              <w:jc w:val="center"/>
            </w:pPr>
            <w:r>
              <w:rPr>
                <w:b w:val="false"/>
                <w:bCs w:val="false"/>
                <w:color w:val="000000"/>
                <w:sz w:val="19"/>
                <w:szCs w:val="19"/>
              </w:rPr>
              <w:t xml:space="preserve">7.29%</w:t>
            </w:r>
          </w:p>
        </w:tc>
      </w:tr>
      <w:tr>
        <w:tc>
          <w:tcPr>
            <w:tcW w:type="dxa" w:w="2600"/>
          </w:tcPr>
          <w:p>
            <w:pPr>
              <w:jc w:val="left"/>
            </w:pPr>
            <w:r>
              <w:rPr>
                <w:b w:val="false"/>
                <w:bCs w:val="false"/>
                <w:color w:val="000000"/>
                <w:sz w:val="19"/>
                <w:szCs w:val="19"/>
              </w:rPr>
              <w:t xml:space="preserve">Asset Turnover</w:t>
            </w:r>
          </w:p>
        </w:tc>
        <w:tc>
          <w:tcPr>
            <w:tcW w:type="dxa" w:w="1650"/>
          </w:tcPr>
          <w:p>
            <w:pPr>
              <w:jc w:val="center"/>
            </w:pPr>
            <w:r>
              <w:rPr>
                <w:b w:val="false"/>
                <w:bCs w:val="false"/>
                <w:color w:val="000000"/>
                <w:sz w:val="19"/>
                <w:szCs w:val="19"/>
              </w:rPr>
              <w:t xml:space="preserve">0.68x</w:t>
            </w:r>
          </w:p>
        </w:tc>
        <w:tc>
          <w:tcPr>
            <w:tcW w:type="dxa" w:w="1650"/>
          </w:tcPr>
          <w:p>
            <w:pPr>
              <w:jc w:val="center"/>
            </w:pPr>
            <w:r>
              <w:rPr>
                <w:b w:val="false"/>
                <w:bCs w:val="false"/>
                <w:color w:val="000000"/>
                <w:sz w:val="19"/>
                <w:szCs w:val="19"/>
              </w:rPr>
              <w:t xml:space="preserve">0.57x</w:t>
            </w:r>
          </w:p>
        </w:tc>
        <w:tc>
          <w:tcPr>
            <w:tcW w:type="dxa" w:w="1650"/>
          </w:tcPr>
          <w:p>
            <w:pPr>
              <w:jc w:val="center"/>
            </w:pPr>
            <w:r>
              <w:rPr>
                <w:b w:val="false"/>
                <w:bCs w:val="false"/>
                <w:color w:val="000000"/>
                <w:sz w:val="19"/>
                <w:szCs w:val="19"/>
              </w:rPr>
              <w:t xml:space="preserve">0.72x</w:t>
            </w:r>
          </w:p>
        </w:tc>
        <w:tc>
          <w:tcPr>
            <w:tcW w:type="dxa" w:w="1650"/>
          </w:tcPr>
          <w:p>
            <w:pPr>
              <w:jc w:val="center"/>
            </w:pPr>
            <w:r>
              <w:rPr>
                <w:b w:val="false"/>
                <w:bCs w:val="false"/>
                <w:color w:val="000000"/>
                <w:sz w:val="19"/>
                <w:szCs w:val="19"/>
              </w:rPr>
              <w:t xml:space="preserve">0.72x</w:t>
            </w:r>
          </w:p>
        </w:tc>
      </w:tr>
    </w:tbl>
    <w:p>
      <w:pPr>
        <w:spacing w:after="200"/>
      </w:pPr>
    </w:p>
    <w:p>
      <w:pPr>
        <w:spacing w:after="160"/>
      </w:pPr>
      <w:r>
        <w:rPr>
          <w:b w:val="false"/>
          <w:bCs w:val="false"/>
          <w:i/>
          <w:iCs/>
          <w:sz w:val="21"/>
          <w:szCs w:val="21"/>
        </w:rPr>
        <w:t xml:space="preserve">BP is the clear outlier across almost every dimension - near-zero profitability and returns, and by far the highest leverage (Debt/Equity of 1.37x vs. 0.17x-0.43x for the other three). ExxonMobil leads on ROE and Net Margin; Shell carries the most conservative balance sheet (lowest Net Debt/EBITDA) despite the steepest revenue decline.</w:t>
      </w:r>
    </w:p>
    <w:p>
      <w:pPr>
        <w:pStyle w:val="Heading1"/>
        <w:spacing w:after="160" w:before="360"/>
      </w:pPr>
      <w:r>
        <w:rPr>
          <w:color w:val="1F3864"/>
        </w:rPr>
        <w:t xml:space="preserve">5. Financial Scoring &amp; Ranking</w:t>
      </w:r>
    </w:p>
    <w:p>
      <w:pPr>
        <w:spacing w:after="160"/>
      </w:pPr>
      <w:r>
        <w:rPr>
          <w:b w:val="false"/>
          <w:bCs w:val="false"/>
          <w:i w:val="false"/>
          <w:iCs w:val="false"/>
          <w:sz w:val="21"/>
          <w:szCs w:val="21"/>
        </w:rPr>
        <w:t xml:space="preserve">A composite score was built across five weighted-equal categories (Profitability, Liquidity, Financial Risk, Cash Generation, Growth), each metric min-max normalized across the four companies for the 2025 fiscal year, then averaged into an overall score out of 100.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c>
          <w:tcPr>
            <w:tcW w:type="dxa" w:w="2600"/>
            <w:shd w:fill="1F3864" w:val="clear"/>
          </w:tcPr>
          <w:p>
            <w:pPr>
              <w:jc w:val="center"/>
            </w:pPr>
            <w:r>
              <w:rPr>
                <w:b/>
                <w:bCs/>
                <w:color w:val="FFFFFF"/>
                <w:sz w:val="19"/>
                <w:szCs w:val="19"/>
              </w:rPr>
              <w:t xml:space="preserve">Indicator</w:t>
            </w:r>
          </w:p>
        </w:tc>
        <w:tc>
          <w:tcPr>
            <w:tcW w:type="dxa" w:w="1650"/>
            <w:shd w:fill="1F3864" w:val="clear"/>
          </w:tcPr>
          <w:p>
            <w:pPr>
              <w:jc w:val="center"/>
            </w:pPr>
            <w:r>
              <w:rPr>
                <w:b/>
                <w:bCs/>
                <w:color w:val="FFFFFF"/>
                <w:sz w:val="19"/>
                <w:szCs w:val="19"/>
              </w:rPr>
              <w:t xml:space="preserve">SHEL</w:t>
            </w:r>
          </w:p>
        </w:tc>
        <w:tc>
          <w:tcPr>
            <w:tcW w:type="dxa" w:w="1650"/>
            <w:shd w:fill="1F3864" w:val="clear"/>
          </w:tcPr>
          <w:p>
            <w:pPr>
              <w:jc w:val="center"/>
            </w:pPr>
            <w:r>
              <w:rPr>
                <w:b/>
                <w:bCs/>
                <w:color w:val="FFFFFF"/>
                <w:sz w:val="19"/>
                <w:szCs w:val="19"/>
              </w:rPr>
              <w:t xml:space="preserve">XOM</w:t>
            </w:r>
          </w:p>
        </w:tc>
        <w:tc>
          <w:tcPr>
            <w:tcW w:type="dxa" w:w="1650"/>
            <w:shd w:fill="1F3864" w:val="clear"/>
          </w:tcPr>
          <w:p>
            <w:pPr>
              <w:jc w:val="center"/>
            </w:pPr>
            <w:r>
              <w:rPr>
                <w:b/>
                <w:bCs/>
                <w:color w:val="FFFFFF"/>
                <w:sz w:val="19"/>
                <w:szCs w:val="19"/>
              </w:rPr>
              <w:t xml:space="preserve">CVX</w:t>
            </w:r>
          </w:p>
        </w:tc>
        <w:tc>
          <w:tcPr>
            <w:tcW w:type="dxa" w:w="1650"/>
            <w:shd w:fill="1F3864" w:val="clear"/>
          </w:tcPr>
          <w:p>
            <w:pPr>
              <w:jc w:val="center"/>
            </w:pPr>
            <w:r>
              <w:rPr>
                <w:b/>
                <w:bCs/>
                <w:color w:val="FFFFFF"/>
                <w:sz w:val="19"/>
                <w:szCs w:val="19"/>
              </w:rPr>
              <w:t xml:space="preserve">BP</w:t>
            </w:r>
          </w:p>
        </w:tc>
      </w:tr>
      <w:tr>
        <w:tc>
          <w:tcPr>
            <w:tcW w:type="dxa" w:w="2600"/>
          </w:tcPr>
          <w:p>
            <w:pPr>
              <w:jc w:val="left"/>
            </w:pPr>
            <w:r>
              <w:rPr>
                <w:b w:val="false"/>
                <w:bCs w:val="false"/>
                <w:color w:val="000000"/>
                <w:sz w:val="19"/>
                <w:szCs w:val="19"/>
              </w:rPr>
              <w:t xml:space="preserve">Profitability</w:t>
            </w:r>
          </w:p>
        </w:tc>
        <w:tc>
          <w:tcPr>
            <w:tcW w:type="dxa" w:w="1650"/>
          </w:tcPr>
          <w:p>
            <w:pPr>
              <w:jc w:val="center"/>
            </w:pPr>
            <w:r>
              <w:rPr>
                <w:b w:val="false"/>
                <w:bCs w:val="false"/>
                <w:color w:val="000000"/>
                <w:sz w:val="19"/>
                <w:szCs w:val="19"/>
              </w:rPr>
              <w:t xml:space="preserve">0.8</w:t>
            </w:r>
          </w:p>
        </w:tc>
        <w:tc>
          <w:tcPr>
            <w:tcW w:type="dxa" w:w="1650"/>
          </w:tcPr>
          <w:p>
            <w:pPr>
              <w:jc w:val="center"/>
            </w:pPr>
            <w:r>
              <w:rPr>
                <w:b w:val="false"/>
                <w:bCs w:val="false"/>
                <w:color w:val="000000"/>
                <w:sz w:val="19"/>
                <w:szCs w:val="19"/>
              </w:rPr>
              <w:t xml:space="preserve">1.0</w:t>
            </w:r>
          </w:p>
        </w:tc>
        <w:tc>
          <w:tcPr>
            <w:tcW w:type="dxa" w:w="1650"/>
          </w:tcPr>
          <w:p>
            <w:pPr>
              <w:jc w:val="center"/>
            </w:pPr>
            <w:r>
              <w:rPr>
                <w:b w:val="false"/>
                <w:bCs w:val="false"/>
                <w:color w:val="000000"/>
                <w:sz w:val="19"/>
                <w:szCs w:val="19"/>
              </w:rPr>
              <w:t xml:space="preserve">0.5</w:t>
            </w:r>
          </w:p>
        </w:tc>
        <w:tc>
          <w:tcPr>
            <w:tcW w:type="dxa" w:w="1650"/>
          </w:tcPr>
          <w:p>
            <w:pPr>
              <w:jc w:val="center"/>
            </w:pPr>
            <w:r>
              <w:rPr>
                <w:b w:val="false"/>
                <w:bCs w:val="false"/>
                <w:color w:val="000000"/>
                <w:sz w:val="19"/>
                <w:szCs w:val="19"/>
              </w:rPr>
              <w:t xml:space="preserve">0.1</w:t>
            </w:r>
          </w:p>
        </w:tc>
      </w:tr>
      <w:tr>
        <w:tc>
          <w:tcPr>
            <w:tcW w:type="dxa" w:w="2600"/>
            <w:shd w:fill="F2F2F2" w:val="clear"/>
          </w:tcPr>
          <w:p>
            <w:pPr>
              <w:jc w:val="left"/>
            </w:pPr>
            <w:r>
              <w:rPr>
                <w:b w:val="false"/>
                <w:bCs w:val="false"/>
                <w:color w:val="000000"/>
                <w:sz w:val="19"/>
                <w:szCs w:val="19"/>
              </w:rPr>
              <w:t xml:space="preserve">Liquidity</w:t>
            </w:r>
          </w:p>
        </w:tc>
        <w:tc>
          <w:tcPr>
            <w:tcW w:type="dxa" w:w="1650"/>
            <w:shd w:fill="F2F2F2" w:val="clear"/>
          </w:tcPr>
          <w:p>
            <w:pPr>
              <w:jc w:val="center"/>
            </w:pPr>
            <w:r>
              <w:rPr>
                <w:b w:val="false"/>
                <w:bCs w:val="false"/>
                <w:color w:val="000000"/>
                <w:sz w:val="19"/>
                <w:szCs w:val="19"/>
              </w:rPr>
              <w:t xml:space="preserve">1.0</w:t>
            </w:r>
          </w:p>
        </w:tc>
        <w:tc>
          <w:tcPr>
            <w:tcW w:type="dxa" w:w="1650"/>
            <w:shd w:fill="F2F2F2" w:val="clear"/>
          </w:tcPr>
          <w:p>
            <w:pPr>
              <w:jc w:val="center"/>
            </w:pPr>
            <w:r>
              <w:rPr>
                <w:b w:val="false"/>
                <w:bCs w:val="false"/>
                <w:color w:val="000000"/>
                <w:sz w:val="19"/>
                <w:szCs w:val="19"/>
              </w:rPr>
              <w:t xml:space="preserve">0.0</w:t>
            </w:r>
          </w:p>
        </w:tc>
        <w:tc>
          <w:tcPr>
            <w:tcW w:type="dxa" w:w="1650"/>
            <w:shd w:fill="F2F2F2" w:val="clear"/>
          </w:tcPr>
          <w:p>
            <w:pPr>
              <w:jc w:val="center"/>
            </w:pPr>
            <w:r>
              <w:rPr>
                <w:b w:val="false"/>
                <w:bCs w:val="false"/>
                <w:color w:val="000000"/>
                <w:sz w:val="19"/>
                <w:szCs w:val="19"/>
              </w:rPr>
              <w:t xml:space="preserve">0.2</w:t>
            </w:r>
          </w:p>
        </w:tc>
        <w:tc>
          <w:tcPr>
            <w:tcW w:type="dxa" w:w="1650"/>
            <w:shd w:fill="F2F2F2" w:val="clear"/>
          </w:tcPr>
          <w:p>
            <w:pPr>
              <w:jc w:val="center"/>
            </w:pPr>
            <w:r>
              <w:rPr>
                <w:b w:val="false"/>
                <w:bCs w:val="false"/>
                <w:color w:val="000000"/>
                <w:sz w:val="19"/>
                <w:szCs w:val="19"/>
              </w:rPr>
              <w:t xml:space="preserve">0.8</w:t>
            </w:r>
          </w:p>
        </w:tc>
      </w:tr>
      <w:tr>
        <w:tc>
          <w:tcPr>
            <w:tcW w:type="dxa" w:w="2600"/>
          </w:tcPr>
          <w:p>
            <w:pPr>
              <w:jc w:val="left"/>
            </w:pPr>
            <w:r>
              <w:rPr>
                <w:b w:val="false"/>
                <w:bCs w:val="false"/>
                <w:color w:val="000000"/>
                <w:sz w:val="19"/>
                <w:szCs w:val="19"/>
              </w:rPr>
              <w:t xml:space="preserve">Financial Risk</w:t>
            </w:r>
          </w:p>
        </w:tc>
        <w:tc>
          <w:tcPr>
            <w:tcW w:type="dxa" w:w="1650"/>
          </w:tcPr>
          <w:p>
            <w:pPr>
              <w:jc w:val="center"/>
            </w:pPr>
            <w:r>
              <w:rPr>
                <w:b w:val="false"/>
                <w:bCs w:val="false"/>
                <w:color w:val="000000"/>
                <w:sz w:val="19"/>
                <w:szCs w:val="19"/>
              </w:rPr>
              <w:t xml:space="preserve">0.9</w:t>
            </w:r>
          </w:p>
        </w:tc>
        <w:tc>
          <w:tcPr>
            <w:tcW w:type="dxa" w:w="1650"/>
          </w:tcPr>
          <w:p>
            <w:pPr>
              <w:jc w:val="center"/>
            </w:pPr>
            <w:r>
              <w:rPr>
                <w:b w:val="false"/>
                <w:bCs w:val="false"/>
                <w:color w:val="000000"/>
                <w:sz w:val="19"/>
                <w:szCs w:val="19"/>
              </w:rPr>
              <w:t xml:space="preserve">0.9</w:t>
            </w:r>
          </w:p>
        </w:tc>
        <w:tc>
          <w:tcPr>
            <w:tcW w:type="dxa" w:w="1650"/>
          </w:tcPr>
          <w:p>
            <w:pPr>
              <w:jc w:val="center"/>
            </w:pPr>
            <w:r>
              <w:rPr>
                <w:b w:val="false"/>
                <w:bCs w:val="false"/>
                <w:color w:val="000000"/>
                <w:sz w:val="19"/>
                <w:szCs w:val="19"/>
              </w:rPr>
              <w:t xml:space="preserve">0.5</w:t>
            </w:r>
          </w:p>
        </w:tc>
        <w:tc>
          <w:tcPr>
            <w:tcW w:type="dxa" w:w="1650"/>
          </w:tcPr>
          <w:p>
            <w:pPr>
              <w:jc w:val="center"/>
            </w:pPr>
            <w:r>
              <w:rPr>
                <w:b w:val="false"/>
                <w:bCs w:val="false"/>
                <w:color w:val="000000"/>
                <w:sz w:val="19"/>
                <w:szCs w:val="19"/>
              </w:rPr>
              <w:t xml:space="preserve">0.1</w:t>
            </w:r>
          </w:p>
        </w:tc>
      </w:tr>
      <w:tr>
        <w:tc>
          <w:tcPr>
            <w:tcW w:type="dxa" w:w="2600"/>
            <w:shd w:fill="F2F2F2" w:val="clear"/>
          </w:tcPr>
          <w:p>
            <w:pPr>
              <w:jc w:val="left"/>
            </w:pPr>
            <w:r>
              <w:rPr>
                <w:b w:val="false"/>
                <w:bCs w:val="false"/>
                <w:color w:val="000000"/>
                <w:sz w:val="19"/>
                <w:szCs w:val="19"/>
              </w:rPr>
              <w:t xml:space="preserve">Cash Generation</w:t>
            </w:r>
          </w:p>
        </w:tc>
        <w:tc>
          <w:tcPr>
            <w:tcW w:type="dxa" w:w="1650"/>
            <w:shd w:fill="F2F2F2" w:val="clear"/>
          </w:tcPr>
          <w:p>
            <w:pPr>
              <w:jc w:val="center"/>
            </w:pPr>
            <w:r>
              <w:rPr>
                <w:b w:val="false"/>
                <w:bCs w:val="false"/>
                <w:color w:val="000000"/>
                <w:sz w:val="19"/>
                <w:szCs w:val="19"/>
              </w:rPr>
              <w:t xml:space="preserve">0.8</w:t>
            </w:r>
          </w:p>
        </w:tc>
        <w:tc>
          <w:tcPr>
            <w:tcW w:type="dxa" w:w="1650"/>
            <w:shd w:fill="F2F2F2" w:val="clear"/>
          </w:tcPr>
          <w:p>
            <w:pPr>
              <w:jc w:val="center"/>
            </w:pPr>
            <w:r>
              <w:rPr>
                <w:b w:val="false"/>
                <w:bCs w:val="false"/>
                <w:color w:val="000000"/>
                <w:sz w:val="19"/>
                <w:szCs w:val="19"/>
              </w:rPr>
              <w:t xml:space="preserve">0.5</w:t>
            </w:r>
          </w:p>
        </w:tc>
        <w:tc>
          <w:tcPr>
            <w:tcW w:type="dxa" w:w="1650"/>
            <w:shd w:fill="F2F2F2" w:val="clear"/>
          </w:tcPr>
          <w:p>
            <w:pPr>
              <w:jc w:val="center"/>
            </w:pPr>
            <w:r>
              <w:rPr>
                <w:b w:val="false"/>
                <w:bCs w:val="false"/>
                <w:color w:val="000000"/>
                <w:sz w:val="19"/>
                <w:szCs w:val="19"/>
              </w:rPr>
              <w:t xml:space="preserve">1.0</w:t>
            </w:r>
          </w:p>
        </w:tc>
        <w:tc>
          <w:tcPr>
            <w:tcW w:type="dxa" w:w="1650"/>
            <w:shd w:fill="F2F2F2" w:val="clear"/>
          </w:tcPr>
          <w:p>
            <w:pPr>
              <w:jc w:val="center"/>
            </w:pPr>
            <w:r>
              <w:rPr>
                <w:b w:val="false"/>
                <w:bCs w:val="false"/>
                <w:color w:val="000000"/>
                <w:sz w:val="19"/>
                <w:szCs w:val="19"/>
              </w:rPr>
              <w:t xml:space="preserve">0.0</w:t>
            </w:r>
          </w:p>
        </w:tc>
      </w:tr>
      <w:tr>
        <w:tc>
          <w:tcPr>
            <w:tcW w:type="dxa" w:w="2600"/>
          </w:tcPr>
          <w:p>
            <w:pPr>
              <w:jc w:val="left"/>
            </w:pPr>
            <w:r>
              <w:rPr>
                <w:b w:val="false"/>
                <w:bCs w:val="false"/>
                <w:color w:val="000000"/>
                <w:sz w:val="19"/>
                <w:szCs w:val="19"/>
              </w:rPr>
              <w:t xml:space="preserve">Growth</w:t>
            </w:r>
          </w:p>
        </w:tc>
        <w:tc>
          <w:tcPr>
            <w:tcW w:type="dxa" w:w="1650"/>
          </w:tcPr>
          <w:p>
            <w:pPr>
              <w:jc w:val="center"/>
            </w:pPr>
            <w:r>
              <w:rPr>
                <w:b w:val="false"/>
                <w:bCs w:val="false"/>
                <w:color w:val="000000"/>
                <w:sz w:val="19"/>
                <w:szCs w:val="19"/>
              </w:rPr>
              <w:t xml:space="preserve">0.5</w:t>
            </w:r>
          </w:p>
        </w:tc>
        <w:tc>
          <w:tcPr>
            <w:tcW w:type="dxa" w:w="1650"/>
          </w:tcPr>
          <w:p>
            <w:pPr>
              <w:jc w:val="center"/>
            </w:pPr>
            <w:r>
              <w:rPr>
                <w:b w:val="false"/>
                <w:bCs w:val="false"/>
                <w:color w:val="000000"/>
                <w:sz w:val="19"/>
                <w:szCs w:val="19"/>
              </w:rPr>
              <w:t xml:space="preserve">0.4</w:t>
            </w:r>
          </w:p>
        </w:tc>
        <w:tc>
          <w:tcPr>
            <w:tcW w:type="dxa" w:w="1650"/>
          </w:tcPr>
          <w:p>
            <w:pPr>
              <w:jc w:val="center"/>
            </w:pPr>
            <w:r>
              <w:rPr>
                <w:b w:val="false"/>
                <w:bCs w:val="false"/>
                <w:color w:val="000000"/>
                <w:sz w:val="19"/>
                <w:szCs w:val="19"/>
              </w:rPr>
              <w:t xml:space="preserve">0.3</w:t>
            </w:r>
          </w:p>
        </w:tc>
        <w:tc>
          <w:tcPr>
            <w:tcW w:type="dxa" w:w="1650"/>
          </w:tcPr>
          <w:p>
            <w:pPr>
              <w:jc w:val="center"/>
            </w:pPr>
            <w:r>
              <w:rPr>
                <w:b w:val="false"/>
                <w:bCs w:val="false"/>
                <w:color w:val="000000"/>
                <w:sz w:val="19"/>
                <w:szCs w:val="19"/>
              </w:rPr>
              <w:t xml:space="preserve">0.7</w:t>
            </w:r>
          </w:p>
        </w:tc>
      </w:tr>
      <w:tr>
        <w:tc>
          <w:tcPr>
            <w:tcW w:type="dxa" w:w="2600"/>
            <w:shd w:fill="F2F2F2" w:val="clear"/>
          </w:tcPr>
          <w:p>
            <w:pPr>
              <w:jc w:val="left"/>
            </w:pPr>
            <w:r>
              <w:rPr>
                <w:b w:val="false"/>
                <w:bCs w:val="false"/>
                <w:color w:val="000000"/>
                <w:sz w:val="19"/>
                <w:szCs w:val="19"/>
              </w:rPr>
              <w:t xml:space="preserve">Overall Score (0-100)</w:t>
            </w:r>
          </w:p>
        </w:tc>
        <w:tc>
          <w:tcPr>
            <w:tcW w:type="dxa" w:w="1650"/>
            <w:shd w:fill="F2F2F2" w:val="clear"/>
          </w:tcPr>
          <w:p>
            <w:pPr>
              <w:jc w:val="center"/>
            </w:pPr>
            <w:r>
              <w:rPr>
                <w:b w:val="false"/>
                <w:bCs w:val="false"/>
                <w:color w:val="000000"/>
                <w:sz w:val="19"/>
                <w:szCs w:val="19"/>
              </w:rPr>
              <w:t xml:space="preserve">79.0</w:t>
            </w:r>
          </w:p>
        </w:tc>
        <w:tc>
          <w:tcPr>
            <w:tcW w:type="dxa" w:w="1650"/>
            <w:shd w:fill="F2F2F2" w:val="clear"/>
          </w:tcPr>
          <w:p>
            <w:pPr>
              <w:jc w:val="center"/>
            </w:pPr>
            <w:r>
              <w:rPr>
                <w:b w:val="false"/>
                <w:bCs w:val="false"/>
                <w:color w:val="000000"/>
                <w:sz w:val="19"/>
                <w:szCs w:val="19"/>
              </w:rPr>
              <w:t xml:space="preserve">54.9</w:t>
            </w:r>
          </w:p>
        </w:tc>
        <w:tc>
          <w:tcPr>
            <w:tcW w:type="dxa" w:w="1650"/>
            <w:shd w:fill="F2F2F2" w:val="clear"/>
          </w:tcPr>
          <w:p>
            <w:pPr>
              <w:jc w:val="center"/>
            </w:pPr>
            <w:r>
              <w:rPr>
                <w:b w:val="false"/>
                <w:bCs w:val="false"/>
                <w:color w:val="000000"/>
                <w:sz w:val="19"/>
                <w:szCs w:val="19"/>
              </w:rPr>
              <w:t xml:space="preserve">49.0</w:t>
            </w:r>
          </w:p>
        </w:tc>
        <w:tc>
          <w:tcPr>
            <w:tcW w:type="dxa" w:w="1650"/>
            <w:shd w:fill="F2F2F2" w:val="clear"/>
          </w:tcPr>
          <w:p>
            <w:pPr>
              <w:jc w:val="center"/>
            </w:pPr>
            <w:r>
              <w:rPr>
                <w:b w:val="false"/>
                <w:bCs w:val="false"/>
                <w:color w:val="000000"/>
                <w:sz w:val="19"/>
                <w:szCs w:val="19"/>
              </w:rPr>
              <w:t xml:space="preserve">32.6</w:t>
            </w:r>
          </w:p>
        </w:tc>
      </w:tr>
    </w:tbl>
    <w:p>
      <w:pPr>
        <w:spacing w:after="200"/>
      </w:pPr>
    </w:p>
    <w:p>
      <w:pPr>
        <w:spacing w:after="160"/>
      </w:pPr>
      <w:r>
        <w:rPr>
          <w:b w:val="false"/>
          <w:bCs w:val="false"/>
          <w:i/>
          <w:iCs/>
          <w:sz w:val="21"/>
          <w:szCs w:val="21"/>
        </w:rPr>
        <w:t xml:space="preserve">Shell ranks first overall (79.0) on the strength of balanced performance across all five categories rather than any single standout. ExxonMobil ranks second (54.9), driven almost entirely by the best profitability score, but held back by the weakest liquidity score of the four. BP ranks last (32.6), consistent with its poor profitability and leverage position seen throughout this analysis.</w:t>
      </w:r>
    </w:p>
    <w:p>
      <w:pPr>
        <w:spacing w:after="160"/>
      </w:pPr>
      <w:r>
        <w:rPr>
          <w:b w:val="false"/>
          <w:bCs w:val="false"/>
          <w:i/>
          <w:iCs/>
          <w:sz w:val="21"/>
          <w:szCs w:val="21"/>
        </w:rPr>
        <w:t xml:space="preserve">Note: this ranking is equal-weighted across categories and therefore favors balance over any single strength. A ranking that weighted profitability and growth more heavily (an investor-oriented view, versus this risk-balanced view) could place ExxonMobil first instead.</w:t>
      </w:r>
    </w:p>
    <w:p>
      <w:pPr>
        <w:pStyle w:val="Heading1"/>
        <w:spacing w:after="160" w:before="360"/>
      </w:pPr>
      <w:r>
        <w:rPr>
          <w:color w:val="1F3864"/>
        </w:rPr>
        <w:t xml:space="preserve">6. Oil &amp; Gas Sector-Specific Analysis</w:t>
      </w:r>
    </w:p>
    <w:p>
      <w:pPr>
        <w:spacing w:after="160"/>
      </w:pPr>
      <w:r>
        <w:rPr>
          <w:b w:val="false"/>
          <w:bCs w:val="false"/>
          <w:i w:val="false"/>
          <w:iCs w:val="false"/>
          <w:sz w:val="21"/>
          <w:szCs w:val="21"/>
        </w:rPr>
        <w:t xml:space="preserve">Because earnings in this sector are inherently cyclical and commodity-price driven, headline ratios alone can understate risk. The table below adds volatility and full-cycle averages (coefficient of variation for Revenue/EBITDA, standard deviation for margin) across all four years, rather than a single-year snapshot.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c>
          <w:tcPr>
            <w:tcW w:type="dxa" w:w="2600"/>
            <w:shd w:fill="1F3864" w:val="clear"/>
          </w:tcPr>
          <w:p>
            <w:pPr>
              <w:jc w:val="center"/>
            </w:pPr>
            <w:r>
              <w:rPr>
                <w:b/>
                <w:bCs/>
                <w:color w:val="FFFFFF"/>
                <w:sz w:val="19"/>
                <w:szCs w:val="19"/>
              </w:rPr>
              <w:t xml:space="preserve">Indicator</w:t>
            </w:r>
          </w:p>
        </w:tc>
        <w:tc>
          <w:tcPr>
            <w:tcW w:type="dxa" w:w="1650"/>
            <w:shd w:fill="1F3864" w:val="clear"/>
          </w:tcPr>
          <w:p>
            <w:pPr>
              <w:jc w:val="center"/>
            </w:pPr>
            <w:r>
              <w:rPr>
                <w:b/>
                <w:bCs/>
                <w:color w:val="FFFFFF"/>
                <w:sz w:val="19"/>
                <w:szCs w:val="19"/>
              </w:rPr>
              <w:t xml:space="preserve">BP</w:t>
            </w:r>
          </w:p>
        </w:tc>
        <w:tc>
          <w:tcPr>
            <w:tcW w:type="dxa" w:w="1650"/>
            <w:shd w:fill="1F3864" w:val="clear"/>
          </w:tcPr>
          <w:p>
            <w:pPr>
              <w:jc w:val="center"/>
            </w:pPr>
            <w:r>
              <w:rPr>
                <w:b/>
                <w:bCs/>
                <w:color w:val="FFFFFF"/>
                <w:sz w:val="19"/>
                <w:szCs w:val="19"/>
              </w:rPr>
              <w:t xml:space="preserve">CVX</w:t>
            </w:r>
          </w:p>
        </w:tc>
        <w:tc>
          <w:tcPr>
            <w:tcW w:type="dxa" w:w="1650"/>
            <w:shd w:fill="1F3864" w:val="clear"/>
          </w:tcPr>
          <w:p>
            <w:pPr>
              <w:jc w:val="center"/>
            </w:pPr>
            <w:r>
              <w:rPr>
                <w:b/>
                <w:bCs/>
                <w:color w:val="FFFFFF"/>
                <w:sz w:val="19"/>
                <w:szCs w:val="19"/>
              </w:rPr>
              <w:t xml:space="preserve">SHEL</w:t>
            </w:r>
          </w:p>
        </w:tc>
        <w:tc>
          <w:tcPr>
            <w:tcW w:type="dxa" w:w="1650"/>
            <w:shd w:fill="1F3864" w:val="clear"/>
          </w:tcPr>
          <w:p>
            <w:pPr>
              <w:jc w:val="center"/>
            </w:pPr>
            <w:r>
              <w:rPr>
                <w:b/>
                <w:bCs/>
                <w:color w:val="FFFFFF"/>
                <w:sz w:val="19"/>
                <w:szCs w:val="19"/>
              </w:rPr>
              <w:t xml:space="preserve">XOM</w:t>
            </w:r>
          </w:p>
        </w:tc>
      </w:tr>
      <w:tr>
        <w:tc>
          <w:tcPr>
            <w:tcW w:type="dxa" w:w="2600"/>
          </w:tcPr>
          <w:p>
            <w:pPr>
              <w:jc w:val="left"/>
            </w:pPr>
            <w:r>
              <w:rPr>
                <w:b w:val="false"/>
                <w:bCs w:val="false"/>
                <w:color w:val="000000"/>
                <w:sz w:val="19"/>
                <w:szCs w:val="19"/>
              </w:rPr>
              <w:t xml:space="preserve">Revenue Volatility (CV)</w:t>
            </w:r>
          </w:p>
        </w:tc>
        <w:tc>
          <w:tcPr>
            <w:tcW w:type="dxa" w:w="1650"/>
          </w:tcPr>
          <w:p>
            <w:pPr>
              <w:jc w:val="center"/>
            </w:pPr>
            <w:r>
              <w:rPr>
                <w:b w:val="false"/>
                <w:bCs w:val="false"/>
                <w:color w:val="000000"/>
                <w:sz w:val="19"/>
                <w:szCs w:val="19"/>
              </w:rPr>
              <w:t xml:space="preserve">0.1187</w:t>
            </w:r>
          </w:p>
        </w:tc>
        <w:tc>
          <w:tcPr>
            <w:tcW w:type="dxa" w:w="1650"/>
          </w:tcPr>
          <w:p>
            <w:pPr>
              <w:jc w:val="center"/>
            </w:pPr>
            <w:r>
              <w:rPr>
                <w:b w:val="false"/>
                <w:bCs w:val="false"/>
                <w:color w:val="000000"/>
                <w:sz w:val="19"/>
                <w:szCs w:val="19"/>
              </w:rPr>
              <w:t xml:space="preserve">0.1119</w:t>
            </w:r>
          </w:p>
        </w:tc>
        <w:tc>
          <w:tcPr>
            <w:tcW w:type="dxa" w:w="1650"/>
          </w:tcPr>
          <w:p>
            <w:pPr>
              <w:jc w:val="center"/>
            </w:pPr>
            <w:r>
              <w:rPr>
                <w:b w:val="false"/>
                <w:bCs w:val="false"/>
                <w:color w:val="000000"/>
                <w:sz w:val="19"/>
                <w:szCs w:val="19"/>
              </w:rPr>
              <w:t xml:space="preserve">0.1615</w:t>
            </w:r>
          </w:p>
        </w:tc>
        <w:tc>
          <w:tcPr>
            <w:tcW w:type="dxa" w:w="1650"/>
          </w:tcPr>
          <w:p>
            <w:pPr>
              <w:jc w:val="center"/>
            </w:pPr>
            <w:r>
              <w:rPr>
                <w:b w:val="false"/>
                <w:bCs w:val="false"/>
                <w:color w:val="000000"/>
                <w:sz w:val="19"/>
                <w:szCs w:val="19"/>
              </w:rPr>
              <w:t xml:space="preserve">0.0964</w:t>
            </w:r>
          </w:p>
        </w:tc>
      </w:tr>
      <w:tr>
        <w:tc>
          <w:tcPr>
            <w:tcW w:type="dxa" w:w="2600"/>
            <w:shd w:fill="F2F2F2" w:val="clear"/>
          </w:tcPr>
          <w:p>
            <w:pPr>
              <w:jc w:val="left"/>
            </w:pPr>
            <w:r>
              <w:rPr>
                <w:b w:val="false"/>
                <w:bCs w:val="false"/>
                <w:color w:val="000000"/>
                <w:sz w:val="19"/>
                <w:szCs w:val="19"/>
              </w:rPr>
              <w:t xml:space="preserve">EBITDA Volatility (CV)</w:t>
            </w:r>
          </w:p>
        </w:tc>
        <w:tc>
          <w:tcPr>
            <w:tcW w:type="dxa" w:w="1650"/>
            <w:shd w:fill="F2F2F2" w:val="clear"/>
          </w:tcPr>
          <w:p>
            <w:pPr>
              <w:jc w:val="center"/>
            </w:pPr>
            <w:r>
              <w:rPr>
                <w:b w:val="false"/>
                <w:bCs w:val="false"/>
                <w:color w:val="000000"/>
                <w:sz w:val="19"/>
                <w:szCs w:val="19"/>
              </w:rPr>
              <w:t xml:space="preserve">0.2028</w:t>
            </w:r>
          </w:p>
        </w:tc>
        <w:tc>
          <w:tcPr>
            <w:tcW w:type="dxa" w:w="1650"/>
            <w:shd w:fill="F2F2F2" w:val="clear"/>
          </w:tcPr>
          <w:p>
            <w:pPr>
              <w:jc w:val="center"/>
            </w:pPr>
            <w:r>
              <w:rPr>
                <w:b w:val="false"/>
                <w:bCs w:val="false"/>
                <w:color w:val="000000"/>
                <w:sz w:val="19"/>
                <w:szCs w:val="19"/>
              </w:rPr>
              <w:t xml:space="preserve">0.2110</w:t>
            </w:r>
          </w:p>
        </w:tc>
        <w:tc>
          <w:tcPr>
            <w:tcW w:type="dxa" w:w="1650"/>
            <w:shd w:fill="F2F2F2" w:val="clear"/>
          </w:tcPr>
          <w:p>
            <w:pPr>
              <w:jc w:val="center"/>
            </w:pPr>
            <w:r>
              <w:rPr>
                <w:b w:val="false"/>
                <w:bCs w:val="false"/>
                <w:color w:val="000000"/>
                <w:sz w:val="19"/>
                <w:szCs w:val="19"/>
              </w:rPr>
              <w:t xml:space="preserve">0.2586</w:t>
            </w:r>
          </w:p>
        </w:tc>
        <w:tc>
          <w:tcPr>
            <w:tcW w:type="dxa" w:w="1650"/>
            <w:shd w:fill="F2F2F2" w:val="clear"/>
          </w:tcPr>
          <w:p>
            <w:pPr>
              <w:jc w:val="center"/>
            </w:pPr>
            <w:r>
              <w:rPr>
                <w:b w:val="false"/>
                <w:bCs w:val="false"/>
                <w:color w:val="000000"/>
                <w:sz w:val="19"/>
                <w:szCs w:val="19"/>
              </w:rPr>
              <w:t xml:space="preserve">0.1968</w:t>
            </w:r>
          </w:p>
        </w:tc>
      </w:tr>
      <w:tr>
        <w:tc>
          <w:tcPr>
            <w:tcW w:type="dxa" w:w="2600"/>
          </w:tcPr>
          <w:p>
            <w:pPr>
              <w:jc w:val="left"/>
            </w:pPr>
            <w:r>
              <w:rPr>
                <w:b w:val="false"/>
                <w:bCs w:val="false"/>
                <w:color w:val="000000"/>
                <w:sz w:val="19"/>
                <w:szCs w:val="19"/>
              </w:rPr>
              <w:t xml:space="preserve">Net Margin Stability (StdDev)</w:t>
            </w:r>
          </w:p>
        </w:tc>
        <w:tc>
          <w:tcPr>
            <w:tcW w:type="dxa" w:w="1650"/>
          </w:tcPr>
          <w:p>
            <w:pPr>
              <w:jc w:val="center"/>
            </w:pPr>
            <w:r>
              <w:rPr>
                <w:b w:val="false"/>
                <w:bCs w:val="false"/>
                <w:color w:val="000000"/>
                <w:sz w:val="19"/>
                <w:szCs w:val="19"/>
              </w:rPr>
              <w:t xml:space="preserve">0.0380</w:t>
            </w:r>
          </w:p>
        </w:tc>
        <w:tc>
          <w:tcPr>
            <w:tcW w:type="dxa" w:w="1650"/>
          </w:tcPr>
          <w:p>
            <w:pPr>
              <w:jc w:val="center"/>
            </w:pPr>
            <w:r>
              <w:rPr>
                <w:b w:val="false"/>
                <w:bCs w:val="false"/>
                <w:color w:val="000000"/>
                <w:sz w:val="19"/>
                <w:szCs w:val="19"/>
              </w:rPr>
              <w:t xml:space="preserve">0.0353</w:t>
            </w:r>
          </w:p>
        </w:tc>
        <w:tc>
          <w:tcPr>
            <w:tcW w:type="dxa" w:w="1650"/>
          </w:tcPr>
          <w:p>
            <w:pPr>
              <w:jc w:val="center"/>
            </w:pPr>
            <w:r>
              <w:rPr>
                <w:b w:val="false"/>
                <w:bCs w:val="false"/>
                <w:color w:val="000000"/>
                <w:sz w:val="19"/>
                <w:szCs w:val="19"/>
              </w:rPr>
              <w:t xml:space="preserve">0.0251</w:t>
            </w:r>
          </w:p>
        </w:tc>
        <w:tc>
          <w:tcPr>
            <w:tcW w:type="dxa" w:w="1650"/>
          </w:tcPr>
          <w:p>
            <w:pPr>
              <w:jc w:val="center"/>
            </w:pPr>
            <w:r>
              <w:rPr>
                <w:b w:val="false"/>
                <w:bCs w:val="false"/>
                <w:color w:val="000000"/>
                <w:sz w:val="19"/>
                <w:szCs w:val="19"/>
              </w:rPr>
              <w:t xml:space="preserve">0.0219</w:t>
            </w:r>
          </w:p>
        </w:tc>
      </w:tr>
      <w:tr>
        <w:tc>
          <w:tcPr>
            <w:tcW w:type="dxa" w:w="2600"/>
            <w:shd w:fill="F2F2F2" w:val="clear"/>
          </w:tcPr>
          <w:p>
            <w:pPr>
              <w:jc w:val="left"/>
            </w:pPr>
            <w:r>
              <w:rPr>
                <w:b w:val="false"/>
                <w:bCs w:val="false"/>
                <w:color w:val="000000"/>
                <w:sz w:val="19"/>
                <w:szCs w:val="19"/>
              </w:rPr>
              <w:t xml:space="preserve">Avg CapEx Intensity</w:t>
            </w:r>
          </w:p>
        </w:tc>
        <w:tc>
          <w:tcPr>
            <w:tcW w:type="dxa" w:w="1650"/>
            <w:shd w:fill="F2F2F2" w:val="clear"/>
          </w:tcPr>
          <w:p>
            <w:pPr>
              <w:jc w:val="center"/>
            </w:pPr>
            <w:r>
              <w:rPr>
                <w:b w:val="false"/>
                <w:bCs w:val="false"/>
                <w:color w:val="000000"/>
                <w:sz w:val="19"/>
                <w:szCs w:val="19"/>
              </w:rPr>
              <w:t xml:space="preserve">6.72%</w:t>
            </w:r>
          </w:p>
        </w:tc>
        <w:tc>
          <w:tcPr>
            <w:tcW w:type="dxa" w:w="1650"/>
            <w:shd w:fill="F2F2F2" w:val="clear"/>
          </w:tcPr>
          <w:p>
            <w:pPr>
              <w:jc w:val="center"/>
            </w:pPr>
            <w:r>
              <w:rPr>
                <w:b w:val="false"/>
                <w:bCs w:val="false"/>
                <w:color w:val="000000"/>
                <w:sz w:val="19"/>
                <w:szCs w:val="19"/>
              </w:rPr>
              <w:t xml:space="preserve">7.76%</w:t>
            </w:r>
          </w:p>
        </w:tc>
        <w:tc>
          <w:tcPr>
            <w:tcW w:type="dxa" w:w="1650"/>
            <w:shd w:fill="F2F2F2" w:val="clear"/>
          </w:tcPr>
          <w:p>
            <w:pPr>
              <w:jc w:val="center"/>
            </w:pPr>
            <w:r>
              <w:rPr>
                <w:b w:val="false"/>
                <w:bCs w:val="false"/>
                <w:color w:val="000000"/>
                <w:sz w:val="19"/>
                <w:szCs w:val="19"/>
              </w:rPr>
              <w:t xml:space="preserve">6.80%</w:t>
            </w:r>
          </w:p>
        </w:tc>
        <w:tc>
          <w:tcPr>
            <w:tcW w:type="dxa" w:w="1650"/>
            <w:shd w:fill="F2F2F2" w:val="clear"/>
          </w:tcPr>
          <w:p>
            <w:pPr>
              <w:jc w:val="center"/>
            </w:pPr>
            <w:r>
              <w:rPr>
                <w:b w:val="false"/>
                <w:bCs w:val="false"/>
                <w:color w:val="000000"/>
                <w:sz w:val="19"/>
                <w:szCs w:val="19"/>
              </w:rPr>
              <w:t xml:space="preserve">6.77%</w:t>
            </w:r>
          </w:p>
        </w:tc>
      </w:tr>
      <w:tr>
        <w:tc>
          <w:tcPr>
            <w:tcW w:type="dxa" w:w="2600"/>
          </w:tcPr>
          <w:p>
            <w:pPr>
              <w:jc w:val="left"/>
            </w:pPr>
            <w:r>
              <w:rPr>
                <w:b w:val="false"/>
                <w:bCs w:val="false"/>
                <w:color w:val="000000"/>
                <w:sz w:val="19"/>
                <w:szCs w:val="19"/>
              </w:rPr>
              <w:t xml:space="preserve">Avg FCF Margin</w:t>
            </w:r>
          </w:p>
        </w:tc>
        <w:tc>
          <w:tcPr>
            <w:tcW w:type="dxa" w:w="1650"/>
          </w:tcPr>
          <w:p>
            <w:pPr>
              <w:jc w:val="center"/>
            </w:pPr>
            <w:r>
              <w:rPr>
                <w:b w:val="false"/>
                <w:bCs w:val="false"/>
                <w:color w:val="000000"/>
                <w:sz w:val="19"/>
                <w:szCs w:val="19"/>
              </w:rPr>
              <w:t xml:space="preserve">8.18%</w:t>
            </w:r>
          </w:p>
        </w:tc>
        <w:tc>
          <w:tcPr>
            <w:tcW w:type="dxa" w:w="1650"/>
          </w:tcPr>
          <w:p>
            <w:pPr>
              <w:jc w:val="center"/>
            </w:pPr>
            <w:r>
              <w:rPr>
                <w:b w:val="false"/>
                <w:bCs w:val="false"/>
                <w:color w:val="000000"/>
                <w:sz w:val="19"/>
                <w:szCs w:val="19"/>
              </w:rPr>
              <w:t xml:space="preserve">10.70%</w:t>
            </w:r>
          </w:p>
        </w:tc>
        <w:tc>
          <w:tcPr>
            <w:tcW w:type="dxa" w:w="1650"/>
          </w:tcPr>
          <w:p>
            <w:pPr>
              <w:jc w:val="center"/>
            </w:pPr>
            <w:r>
              <w:rPr>
                <w:b w:val="false"/>
                <w:bCs w:val="false"/>
                <w:color w:val="000000"/>
                <w:sz w:val="19"/>
                <w:szCs w:val="19"/>
              </w:rPr>
              <w:t xml:space="preserve">10.79%</w:t>
            </w:r>
          </w:p>
        </w:tc>
        <w:tc>
          <w:tcPr>
            <w:tcW w:type="dxa" w:w="1650"/>
          </w:tcPr>
          <w:p>
            <w:pPr>
              <w:jc w:val="center"/>
            </w:pPr>
            <w:r>
              <w:rPr>
                <w:b w:val="false"/>
                <w:bCs w:val="false"/>
                <w:color w:val="000000"/>
                <w:sz w:val="19"/>
                <w:szCs w:val="19"/>
              </w:rPr>
              <w:t xml:space="preserve">10.25%</w:t>
            </w:r>
          </w:p>
        </w:tc>
      </w:tr>
      <w:tr>
        <w:tc>
          <w:tcPr>
            <w:tcW w:type="dxa" w:w="2600"/>
            <w:shd w:fill="F2F2F2" w:val="clear"/>
          </w:tcPr>
          <w:p>
            <w:pPr>
              <w:jc w:val="left"/>
            </w:pPr>
            <w:r>
              <w:rPr>
                <w:b w:val="false"/>
                <w:bCs w:val="false"/>
                <w:color w:val="000000"/>
                <w:sz w:val="19"/>
                <w:szCs w:val="19"/>
              </w:rPr>
              <w:t xml:space="preserve">Avg Net Debt / EBITDA</w:t>
            </w:r>
          </w:p>
        </w:tc>
        <w:tc>
          <w:tcPr>
            <w:tcW w:type="dxa" w:w="1650"/>
            <w:shd w:fill="F2F2F2" w:val="clear"/>
          </w:tcPr>
          <w:p>
            <w:pPr>
              <w:jc w:val="center"/>
            </w:pPr>
            <w:r>
              <w:rPr>
                <w:b w:val="false"/>
                <w:bCs w:val="false"/>
                <w:color w:val="000000"/>
                <w:sz w:val="19"/>
                <w:szCs w:val="19"/>
              </w:rPr>
              <w:t xml:space="preserve">0.72x</w:t>
            </w:r>
          </w:p>
        </w:tc>
        <w:tc>
          <w:tcPr>
            <w:tcW w:type="dxa" w:w="1650"/>
            <w:shd w:fill="F2F2F2" w:val="clear"/>
          </w:tcPr>
          <w:p>
            <w:pPr>
              <w:jc w:val="center"/>
            </w:pPr>
            <w:r>
              <w:rPr>
                <w:b w:val="false"/>
                <w:bCs w:val="false"/>
                <w:color w:val="000000"/>
                <w:sz w:val="19"/>
                <w:szCs w:val="19"/>
              </w:rPr>
              <w:t xml:space="preserve">0.38x</w:t>
            </w:r>
          </w:p>
        </w:tc>
        <w:tc>
          <w:tcPr>
            <w:tcW w:type="dxa" w:w="1650"/>
            <w:shd w:fill="F2F2F2" w:val="clear"/>
          </w:tcPr>
          <w:p>
            <w:pPr>
              <w:jc w:val="center"/>
            </w:pPr>
            <w:r>
              <w:rPr>
                <w:b w:val="false"/>
                <w:bCs w:val="false"/>
                <w:color w:val="000000"/>
                <w:sz w:val="19"/>
                <w:szCs w:val="19"/>
              </w:rPr>
              <w:t xml:space="preserve">0.23x</w:t>
            </w:r>
          </w:p>
        </w:tc>
        <w:tc>
          <w:tcPr>
            <w:tcW w:type="dxa" w:w="1650"/>
            <w:shd w:fill="F2F2F2" w:val="clear"/>
          </w:tcPr>
          <w:p>
            <w:pPr>
              <w:jc w:val="center"/>
            </w:pPr>
            <w:r>
              <w:rPr>
                <w:b w:val="false"/>
                <w:bCs w:val="false"/>
                <w:color w:val="000000"/>
                <w:sz w:val="19"/>
                <w:szCs w:val="19"/>
              </w:rPr>
              <w:t xml:space="preserve">0.19x</w:t>
            </w:r>
          </w:p>
        </w:tc>
      </w:tr>
      <w:tr>
        <w:tc>
          <w:tcPr>
            <w:tcW w:type="dxa" w:w="2600"/>
          </w:tcPr>
          <w:p>
            <w:pPr>
              <w:jc w:val="left"/>
            </w:pPr>
            <w:r>
              <w:rPr>
                <w:b w:val="false"/>
                <w:bCs w:val="false"/>
                <w:color w:val="000000"/>
                <w:sz w:val="19"/>
                <w:szCs w:val="19"/>
              </w:rPr>
              <w:t xml:space="preserve">Avg Asset Turnover</w:t>
            </w:r>
          </w:p>
        </w:tc>
        <w:tc>
          <w:tcPr>
            <w:tcW w:type="dxa" w:w="1650"/>
          </w:tcPr>
          <w:p>
            <w:pPr>
              <w:jc w:val="center"/>
            </w:pPr>
            <w:r>
              <w:rPr>
                <w:b w:val="false"/>
                <w:bCs w:val="false"/>
                <w:color w:val="000000"/>
                <w:sz w:val="19"/>
                <w:szCs w:val="19"/>
              </w:rPr>
              <w:t xml:space="preserve">0.73x</w:t>
            </w:r>
          </w:p>
        </w:tc>
        <w:tc>
          <w:tcPr>
            <w:tcW w:type="dxa" w:w="1650"/>
          </w:tcPr>
          <w:p>
            <w:pPr>
              <w:jc w:val="center"/>
            </w:pPr>
            <w:r>
              <w:rPr>
                <w:b w:val="false"/>
                <w:bCs w:val="false"/>
                <w:color w:val="000000"/>
                <w:sz w:val="19"/>
                <w:szCs w:val="19"/>
              </w:rPr>
              <w:t xml:space="preserve">0.75x</w:t>
            </w:r>
          </w:p>
        </w:tc>
        <w:tc>
          <w:tcPr>
            <w:tcW w:type="dxa" w:w="1650"/>
          </w:tcPr>
          <w:p>
            <w:pPr>
              <w:jc w:val="center"/>
            </w:pPr>
            <w:r>
              <w:rPr>
                <w:b w:val="false"/>
                <w:bCs w:val="false"/>
                <w:color w:val="000000"/>
                <w:sz w:val="19"/>
                <w:szCs w:val="19"/>
              </w:rPr>
              <w:t xml:space="preserve">0.77x</w:t>
            </w:r>
          </w:p>
        </w:tc>
        <w:tc>
          <w:tcPr>
            <w:tcW w:type="dxa" w:w="1650"/>
          </w:tcPr>
          <w:p>
            <w:pPr>
              <w:jc w:val="center"/>
            </w:pPr>
            <w:r>
              <w:rPr>
                <w:b w:val="false"/>
                <w:bCs w:val="false"/>
                <w:color w:val="000000"/>
                <w:sz w:val="19"/>
                <w:szCs w:val="19"/>
              </w:rPr>
              <w:t xml:space="preserve">0.86x</w:t>
            </w:r>
          </w:p>
        </w:tc>
      </w:tr>
      <w:tr>
        <w:tc>
          <w:tcPr>
            <w:tcW w:type="dxa" w:w="2600"/>
            <w:shd w:fill="F2F2F2" w:val="clear"/>
          </w:tcPr>
          <w:p>
            <w:pPr>
              <w:jc w:val="left"/>
            </w:pPr>
            <w:r>
              <w:rPr>
                <w:b w:val="false"/>
                <w:bCs w:val="false"/>
                <w:color w:val="000000"/>
                <w:sz w:val="19"/>
                <w:szCs w:val="19"/>
              </w:rPr>
              <w:t xml:space="preserve">Avg ROE (2022-2025)</w:t>
            </w:r>
          </w:p>
        </w:tc>
        <w:tc>
          <w:tcPr>
            <w:tcW w:type="dxa" w:w="1650"/>
            <w:shd w:fill="F2F2F2" w:val="clear"/>
          </w:tcPr>
          <w:p>
            <w:pPr>
              <w:jc w:val="center"/>
            </w:pPr>
            <w:r>
              <w:rPr>
                <w:b w:val="false"/>
                <w:bCs w:val="false"/>
                <w:color w:val="000000"/>
                <w:sz w:val="19"/>
                <w:szCs w:val="19"/>
              </w:rPr>
              <w:t xml:space="preserve">4.69%</w:t>
            </w:r>
          </w:p>
        </w:tc>
        <w:tc>
          <w:tcPr>
            <w:tcW w:type="dxa" w:w="1650"/>
            <w:shd w:fill="F2F2F2" w:val="clear"/>
          </w:tcPr>
          <w:p>
            <w:pPr>
              <w:jc w:val="center"/>
            </w:pPr>
            <w:r>
              <w:rPr>
                <w:b w:val="false"/>
                <w:bCs w:val="false"/>
                <w:color w:val="000000"/>
                <w:sz w:val="19"/>
                <w:szCs w:val="19"/>
              </w:rPr>
              <w:t xml:space="preserve">13.43%</w:t>
            </w:r>
          </w:p>
        </w:tc>
        <w:tc>
          <w:tcPr>
            <w:tcW w:type="dxa" w:w="1650"/>
            <w:shd w:fill="F2F2F2" w:val="clear"/>
          </w:tcPr>
          <w:p>
            <w:pPr>
              <w:jc w:val="center"/>
            </w:pPr>
            <w:r>
              <w:rPr>
                <w:b w:val="false"/>
                <w:bCs w:val="false"/>
                <w:color w:val="000000"/>
                <w:sz w:val="19"/>
                <w:szCs w:val="19"/>
              </w:rPr>
              <w:t xml:space="preserve">12.96%</w:t>
            </w:r>
          </w:p>
        </w:tc>
        <w:tc>
          <w:tcPr>
            <w:tcW w:type="dxa" w:w="1650"/>
            <w:shd w:fill="F2F2F2" w:val="clear"/>
          </w:tcPr>
          <w:p>
            <w:pPr>
              <w:jc w:val="center"/>
            </w:pPr>
            <w:r>
              <w:rPr>
                <w:b w:val="false"/>
                <w:bCs w:val="false"/>
                <w:color w:val="000000"/>
                <w:sz w:val="19"/>
                <w:szCs w:val="19"/>
              </w:rPr>
              <w:t xml:space="preserve">17.51%</w:t>
            </w:r>
          </w:p>
        </w:tc>
      </w:tr>
    </w:tbl>
    <w:p>
      <w:pPr>
        <w:spacing w:after="200"/>
      </w:pPr>
    </w:p>
    <w:p>
      <w:pPr>
        <w:spacing w:after="160"/>
      </w:pPr>
      <w:r>
        <w:rPr>
          <w:b w:val="false"/>
          <w:bCs w:val="false"/>
          <w:i/>
          <w:iCs/>
          <w:sz w:val="21"/>
          <w:szCs w:val="21"/>
        </w:rPr>
        <w:t xml:space="preserve">A key finding here revises the initial hypothesis: BP is not the most volatile company on Revenue or EBITDA - Shell is (highest volatility on both measures). BP's instability is concentrated below the operating line: its Net Margin Stability (standard deviation) is nearly double ExxonMobil's, and its average Net Debt/EBITDA (0.72x) is roughly double the next-highest company. This points to BP's weakness being a capital-structure and earnings-quality issue rather than simple commodity-price exposure. ExxonMobil is the most consistently resilient operator across the full cycle, with the lowest volatility on both Revenue and EBITDA, and the highest average Asset Turnover and ROE.</w:t>
      </w:r>
    </w:p>
    <w:p>
      <w:pPr>
        <w:pStyle w:val="Heading1"/>
        <w:spacing w:after="160" w:before="360"/>
      </w:pPr>
      <w:r>
        <w:rPr>
          <w:color w:val="1F3864"/>
        </w:rPr>
        <w:t xml:space="preserve">7. Key Takeaways</w:t>
      </w:r>
    </w:p>
    <w:p>
      <w:pPr>
        <w:pStyle w:val="ListParagraph"/>
        <w:numPr>
          <w:ilvl w:val="0"/>
          <w:numId w:val="1"/>
        </w:numPr>
        <w:spacing w:after="80"/>
      </w:pPr>
      <w:r>
        <w:rPr>
          <w:sz w:val="21"/>
          <w:szCs w:val="21"/>
        </w:rPr>
        <w:t xml:space="preserve">The KPI framework (7 categories, ~27 indicators) is complete, validated, and documented, including a resolved data-quality issue in the Receivables field with full audit lineage.</w:t>
      </w:r>
    </w:p>
    <w:p>
      <w:pPr>
        <w:pStyle w:val="ListParagraph"/>
        <w:numPr>
          <w:ilvl w:val="0"/>
          <w:numId w:val="1"/>
        </w:numPr>
        <w:spacing w:after="80"/>
      </w:pPr>
      <w:r>
        <w:rPr>
          <w:sz w:val="21"/>
          <w:szCs w:val="21"/>
        </w:rPr>
        <w:t xml:space="preserve">BP is the standout risk case: near-zero profitability and returns, the highest leverage, and the least stable bottom line of the four companies - a capital structure and earnings-quality story more than a commodity-cycle story.</w:t>
      </w:r>
    </w:p>
    <w:p>
      <w:pPr>
        <w:pStyle w:val="ListParagraph"/>
        <w:numPr>
          <w:ilvl w:val="0"/>
          <w:numId w:val="1"/>
        </w:numPr>
        <w:spacing w:after="80"/>
      </w:pPr>
      <w:r>
        <w:rPr>
          <w:sz w:val="21"/>
          <w:szCs w:val="21"/>
        </w:rPr>
        <w:t xml:space="preserve">ExxonMobil is the most consistently resilient operator across the full 2022-2025 cycle (lowest Revenue/EBITDA volatility, highest average ROE and Asset Turnover).</w:t>
      </w:r>
    </w:p>
    <w:p>
      <w:pPr>
        <w:pStyle w:val="ListParagraph"/>
        <w:numPr>
          <w:ilvl w:val="0"/>
          <w:numId w:val="1"/>
        </w:numPr>
        <w:spacing w:after="80"/>
      </w:pPr>
      <w:r>
        <w:rPr>
          <w:sz w:val="21"/>
          <w:szCs w:val="21"/>
        </w:rPr>
        <w:t xml:space="preserve">Shell carries the most conservative balance sheet of the four despite the steepest revenue decline, and ranks first on the equal-weighted composite score.</w:t>
      </w:r>
    </w:p>
    <w:p>
      <w:pPr>
        <w:pStyle w:val="ListParagraph"/>
        <w:numPr>
          <w:ilvl w:val="0"/>
          <w:numId w:val="1"/>
        </w:numPr>
        <w:spacing w:after="80"/>
      </w:pPr>
      <w:r>
        <w:rPr>
          <w:sz w:val="21"/>
          <w:szCs w:val="21"/>
        </w:rPr>
        <w:t xml:space="preserve">Chevron sits consistently mid-table across most measures, with the strongest cash generation (FCF/Net Income) among the four.</w:t>
      </w:r>
    </w:p>
    <w:p>
      <w:pPr>
        <w:spacing w:after="160"/>
      </w:pPr>
      <w:r>
        <w:rPr>
          <w:b w:val="false"/>
          <w:bCs w:val="false"/>
          <w:i w:val="false"/>
          <w:iCs w:val="false"/>
          <w:sz w:val="21"/>
          <w:szCs w:val="21"/>
        </w:rPr>
        <w:t xml:space="preserve"/>
      </w:r>
    </w:p>
    <w:p>
      <w:pPr>
        <w:spacing w:after="160"/>
      </w:pPr>
      <w:r>
        <w:rPr>
          <w:b w:val="false"/>
          <w:bCs w:val="false"/>
          <w:i/>
          <w:iCs/>
          <w:sz w:val="21"/>
          <w:szCs w:val="21"/>
        </w:rPr>
        <w:t xml:space="preserve">Next steps beyond this deliverable: full benchmarking dashboard build-out in Power BI, and a management-style executive report synthesizing company-by-company strengths and weaknesses.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0d9af375a88572ef460b7aa58b56976bf73a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2026-08-30T16:21:43.287Z</dcterms:created>
  <dcterms:modified xsi:type="dcterms:W3CDTF">2026-08-30T16:21:43.288Z</dcterms:modified>
</cp:coreProperties>
</file>

<file path=docProps/custom.xml><?xml version="1.0" encoding="utf-8"?>
<Properties xmlns="http://schemas.openxmlformats.org/officeDocument/2006/custom-properties" xmlns:vt="http://schemas.openxmlformats.org/officeDocument/2006/docPropsVTypes"/>
</file>