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Financial Literacy Among Corporate Managers: Key Insights and Implications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Summary Memo – Research Findings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1. Overview of Survey and Sample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Financial Literacy Survey gathered responses from a diverse cohort of corporate professionals across multiple sectors, company sizes, and roles. The demographic breakdown includes: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Company Capital Status</w:t>
      </w:r>
      <w:r w:rsidDel="00000000" w:rsidR="00000000" w:rsidRPr="00000000">
        <w:rPr>
          <w:rFonts w:ascii="Lato" w:cs="Lato" w:eastAsia="Lato" w:hAnsi="Lato"/>
          <w:rtl w:val="0"/>
        </w:rPr>
        <w:t xml:space="preserve">: Majority from privately held or family-owned businesses, with a strong representation from publicly traded firms.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Departments</w:t>
      </w:r>
      <w:r w:rsidDel="00000000" w:rsidR="00000000" w:rsidRPr="00000000">
        <w:rPr>
          <w:rFonts w:ascii="Lato" w:cs="Lato" w:eastAsia="Lato" w:hAnsi="Lato"/>
          <w:rtl w:val="0"/>
        </w:rPr>
        <w:t xml:space="preserve">: Mix of finance and non-finance functions (sales, HR, operations, etc.), enabling cross-functional insights.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Experience</w:t>
      </w:r>
      <w:r w:rsidDel="00000000" w:rsidR="00000000" w:rsidRPr="00000000">
        <w:rPr>
          <w:rFonts w:ascii="Lato" w:cs="Lato" w:eastAsia="Lato" w:hAnsi="Lato"/>
          <w:rtl w:val="0"/>
        </w:rPr>
        <w:t xml:space="preserve">: Respondents span from early-career (1–5 years) to highly experienced (20+ years), allowing longitudinal insights.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Job Role</w:t>
      </w:r>
      <w:r w:rsidDel="00000000" w:rsidR="00000000" w:rsidRPr="00000000">
        <w:rPr>
          <w:rFonts w:ascii="Lato" w:cs="Lato" w:eastAsia="Lato" w:hAnsi="Lato"/>
          <w:rtl w:val="0"/>
        </w:rPr>
        <w:t xml:space="preserve">: Included executives, middle managers, and junior professionals.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Company Size</w:t>
      </w:r>
      <w:r w:rsidDel="00000000" w:rsidR="00000000" w:rsidRPr="00000000">
        <w:rPr>
          <w:rFonts w:ascii="Lato" w:cs="Lato" w:eastAsia="Lato" w:hAnsi="Lato"/>
          <w:rtl w:val="0"/>
        </w:rPr>
        <w:t xml:space="preserve">: Broad representation from SMEs (&lt;250 employees) to large corporations (&gt;1000 employees).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Sectors</w:t>
      </w:r>
      <w:r w:rsidDel="00000000" w:rsidR="00000000" w:rsidRPr="00000000">
        <w:rPr>
          <w:rFonts w:ascii="Lato" w:cs="Lato" w:eastAsia="Lato" w:hAnsi="Lato"/>
          <w:rtl w:val="0"/>
        </w:rPr>
        <w:t xml:space="preserve">: Includes technology, manufacturing, financial services, healthcare, and others.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2. Key Insights from Quantitative Analysis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Training Frequency</w:t>
      </w:r>
      <w:r w:rsidDel="00000000" w:rsidR="00000000" w:rsidRPr="00000000">
        <w:rPr>
          <w:rFonts w:ascii="Lato" w:cs="Lato" w:eastAsia="Lato" w:hAnsi="Lato"/>
          <w:rtl w:val="0"/>
        </w:rPr>
        <w:t xml:space="preserve">: Only a minority of organizations provide regular financial literacy (FL) training to managers, indicating a significant capability gap.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Perceived Value</w:t>
      </w:r>
      <w:r w:rsidDel="00000000" w:rsidR="00000000" w:rsidRPr="00000000">
        <w:rPr>
          <w:rFonts w:ascii="Lato" w:cs="Lato" w:eastAsia="Lato" w:hAnsi="Lato"/>
          <w:rtl w:val="0"/>
        </w:rPr>
        <w:t xml:space="preserve">: Overwhelming consensus that FL is critical to organizational success, even among non-finance teams.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Competency Gaps</w:t>
      </w:r>
      <w:r w:rsidDel="00000000" w:rsidR="00000000" w:rsidRPr="00000000">
        <w:rPr>
          <w:rFonts w:ascii="Lato" w:cs="Lato" w:eastAsia="Lato" w:hAnsi="Lat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A substantial number of managers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do not feel confident</w:t>
      </w:r>
      <w:r w:rsidDel="00000000" w:rsidR="00000000" w:rsidRPr="00000000">
        <w:rPr>
          <w:rFonts w:ascii="Lato" w:cs="Lato" w:eastAsia="Lato" w:hAnsi="Lato"/>
          <w:rtl w:val="0"/>
        </w:rPr>
        <w:t xml:space="preserve"> evaluating the financial implications of their decisions.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Understanding of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cash flows</w:t>
      </w:r>
      <w:r w:rsidDel="00000000" w:rsidR="00000000" w:rsidRPr="00000000">
        <w:rPr>
          <w:rFonts w:ascii="Lato" w:cs="Lato" w:eastAsia="Lato" w:hAnsi="Lato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P&amp;L statements</w:t>
      </w:r>
      <w:r w:rsidDel="00000000" w:rsidR="00000000" w:rsidRPr="00000000">
        <w:rPr>
          <w:rFonts w:ascii="Lato" w:cs="Lato" w:eastAsia="Lato" w:hAnsi="Lato"/>
          <w:rtl w:val="0"/>
        </w:rPr>
        <w:t xml:space="preserve">, and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balance sheets</w:t>
      </w:r>
      <w:r w:rsidDel="00000000" w:rsidR="00000000" w:rsidRPr="00000000">
        <w:rPr>
          <w:rFonts w:ascii="Lato" w:cs="Lato" w:eastAsia="Lato" w:hAnsi="Lato"/>
          <w:rtl w:val="0"/>
        </w:rPr>
        <w:t xml:space="preserve"> varies significantly across roles and departments.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Poor Decisions</w:t>
      </w:r>
      <w:r w:rsidDel="00000000" w:rsidR="00000000" w:rsidRPr="00000000">
        <w:rPr>
          <w:rFonts w:ascii="Lato" w:cs="Lato" w:eastAsia="Lato" w:hAnsi="Lato"/>
          <w:rtl w:val="0"/>
        </w:rPr>
        <w:t xml:space="preserve">: Many respondents cited examples of poor decisions made by non-financial teams due to low FL, such as underestimating working capital needs or misjudging profitability timelines.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Common Mistakes</w:t>
      </w:r>
      <w:r w:rsidDel="00000000" w:rsidR="00000000" w:rsidRPr="00000000">
        <w:rPr>
          <w:rFonts w:ascii="Lato" w:cs="Lato" w:eastAsia="Lato" w:hAnsi="Lato"/>
          <w:rtl w:val="0"/>
        </w:rPr>
        <w:t xml:space="preserve">: These include: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Over reliance on revenue growth without understanding cost structure.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Confusing profitability with cash generation.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Misinterpretation of capital funding requirements.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3. Sub-Sample Variations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analysis shows important group-wise differences: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Sector</w:t>
      </w:r>
      <w:r w:rsidDel="00000000" w:rsidR="00000000" w:rsidRPr="00000000">
        <w:rPr>
          <w:rFonts w:ascii="Lato" w:cs="Lato" w:eastAsia="Lato" w:hAnsi="Lato"/>
          <w:rtl w:val="0"/>
        </w:rPr>
        <w:t xml:space="preserve">: Financial services display the highest baseline understanding of financial metrics. In contrast, healthcare and manufacturing sectors show wider skill gaps.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Company Size</w:t>
      </w:r>
      <w:r w:rsidDel="00000000" w:rsidR="00000000" w:rsidRPr="00000000">
        <w:rPr>
          <w:rFonts w:ascii="Lato" w:cs="Lato" w:eastAsia="Lato" w:hAnsi="Lato"/>
          <w:rtl w:val="0"/>
        </w:rPr>
        <w:t xml:space="preserve">: Larger firms are more likely to invest in FL training. SMEs show lower training penetration but higher awareness of its importance.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Role</w:t>
      </w:r>
      <w:r w:rsidDel="00000000" w:rsidR="00000000" w:rsidRPr="00000000">
        <w:rPr>
          <w:rFonts w:ascii="Lato" w:cs="Lato" w:eastAsia="Lato" w:hAnsi="Lato"/>
          <w:rtl w:val="0"/>
        </w:rPr>
        <w:t xml:space="preserve">: Executives exhibit stronger comprehension of core financial documents than middle managers or team leads.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Department</w:t>
      </w:r>
      <w:r w:rsidDel="00000000" w:rsidR="00000000" w:rsidRPr="00000000">
        <w:rPr>
          <w:rFonts w:ascii="Lato" w:cs="Lato" w:eastAsia="Lato" w:hAnsi="Lato"/>
          <w:rtl w:val="0"/>
        </w:rPr>
        <w:t xml:space="preserve">: Finance departments predictably outperform non-finance teams on technical FL, but cross-functional misunderstandings persist.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Capital Status</w:t>
      </w:r>
      <w:r w:rsidDel="00000000" w:rsidR="00000000" w:rsidRPr="00000000">
        <w:rPr>
          <w:rFonts w:ascii="Lato" w:cs="Lato" w:eastAsia="Lato" w:hAnsi="Lato"/>
          <w:rtl w:val="0"/>
        </w:rPr>
        <w:t xml:space="preserve">: Publicly traded companies report slightly higher investment in FL, aligning with governance requirements and shareholder expectations.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4. Advanced Statistical Insights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Correlations</w:t>
      </w:r>
      <w:r w:rsidDel="00000000" w:rsidR="00000000" w:rsidRPr="00000000">
        <w:rPr>
          <w:rFonts w:ascii="Lato" w:cs="Lato" w:eastAsia="Lato" w:hAnsi="Lato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Strong positive correlation between understanding of the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P&amp;L</w:t>
      </w:r>
      <w:r w:rsidDel="00000000" w:rsidR="00000000" w:rsidRPr="00000000">
        <w:rPr>
          <w:rFonts w:ascii="Lato" w:cs="Lato" w:eastAsia="Lato" w:hAnsi="Lato"/>
          <w:rtl w:val="0"/>
        </w:rPr>
        <w:t xml:space="preserve"> and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confidence</w:t>
      </w:r>
      <w:r w:rsidDel="00000000" w:rsidR="00000000" w:rsidRPr="00000000">
        <w:rPr>
          <w:rFonts w:ascii="Lato" w:cs="Lato" w:eastAsia="Lato" w:hAnsi="Lato"/>
          <w:rtl w:val="0"/>
        </w:rPr>
        <w:t xml:space="preserve"> in financial decision-making.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Lato" w:cs="Lato" w:eastAsia="Lato" w:hAnsi="Lato"/>
          <w:rtl w:val="0"/>
        </w:rPr>
        <w:t xml:space="preserve">Training frequency correlates positively with comprehension of both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P&amp;L</w:t>
      </w:r>
      <w:r w:rsidDel="00000000" w:rsidR="00000000" w:rsidRPr="00000000">
        <w:rPr>
          <w:rFonts w:ascii="Lato" w:cs="Lato" w:eastAsia="Lato" w:hAnsi="Lato"/>
          <w:rtl w:val="0"/>
        </w:rPr>
        <w:t xml:space="preserve"> and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balance sheet</w:t>
      </w:r>
      <w:r w:rsidDel="00000000" w:rsidR="00000000" w:rsidRPr="00000000">
        <w:rPr>
          <w:rFonts w:ascii="Lato" w:cs="Lato" w:eastAsia="Lato" w:hAnsi="Lato"/>
          <w:rtl w:val="0"/>
        </w:rPr>
        <w:t xml:space="preserve"> mechanics.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Cash flow understanding</w:t>
      </w:r>
      <w:r w:rsidDel="00000000" w:rsidR="00000000" w:rsidRPr="00000000">
        <w:rPr>
          <w:rFonts w:ascii="Lato" w:cs="Lato" w:eastAsia="Lato" w:hAnsi="Lato"/>
          <w:rtl w:val="0"/>
        </w:rPr>
        <w:t xml:space="preserve"> significantly predicts financial confidence among non-finance managers.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P&amp;L Understanding vs. Training Frequency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r = 0.35</w:t>
      </w:r>
      <w:r w:rsidDel="00000000" w:rsidR="00000000" w:rsidRPr="00000000">
        <w:rPr>
          <w:rFonts w:ascii="Lato" w:cs="Lato" w:eastAsia="Lato" w:hAnsi="Lato"/>
          <w:rtl w:val="0"/>
        </w:rPr>
        <w:t xml:space="preserve">, p &lt; 0.001 (moderate–weak correlation)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Interpretation: Increasing the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quantity</w:t>
      </w:r>
      <w:r w:rsidDel="00000000" w:rsidR="00000000" w:rsidRPr="00000000">
        <w:rPr>
          <w:rFonts w:ascii="Lato" w:cs="Lato" w:eastAsia="Lato" w:hAnsi="Lato"/>
          <w:rtl w:val="0"/>
        </w:rPr>
        <w:t xml:space="preserve"> of P&amp;L training sessions has only 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modest impact</w:t>
      </w:r>
      <w:r w:rsidDel="00000000" w:rsidR="00000000" w:rsidRPr="00000000">
        <w:rPr>
          <w:rFonts w:ascii="Lato" w:cs="Lato" w:eastAsia="Lato" w:hAnsi="Lato"/>
          <w:rtl w:val="0"/>
        </w:rPr>
        <w:t xml:space="preserve"> on comprehension. The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quality, interactivity</w:t>
      </w:r>
      <w:r w:rsidDel="00000000" w:rsidR="00000000" w:rsidRPr="00000000">
        <w:rPr>
          <w:rFonts w:ascii="Lato" w:cs="Lato" w:eastAsia="Lato" w:hAnsi="Lato"/>
          <w:rtl w:val="0"/>
        </w:rPr>
        <w:t xml:space="preserve">, and application of training likely play a greater role than frequency alone.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Cash Flow Understanding vs. Confidence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r = 0.33</w:t>
      </w:r>
      <w:r w:rsidDel="00000000" w:rsidR="00000000" w:rsidRPr="00000000">
        <w:rPr>
          <w:rFonts w:ascii="Lato" w:cs="Lato" w:eastAsia="Lato" w:hAnsi="Lato"/>
          <w:rtl w:val="0"/>
        </w:rPr>
        <w:t xml:space="preserve">, p &lt; 0.001 (moderate–weak correlation)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Interpretation: Even when managers understand cash flow concepts, their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confidence remains limited</w:t>
      </w:r>
      <w:r w:rsidDel="00000000" w:rsidR="00000000" w:rsidRPr="00000000">
        <w:rPr>
          <w:rFonts w:ascii="Lato" w:cs="Lato" w:eastAsia="Lato" w:hAnsi="Lato"/>
          <w:rtl w:val="0"/>
        </w:rPr>
        <w:t xml:space="preserve">. This underscores the need for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hands-on learning</w:t>
      </w:r>
      <w:r w:rsidDel="00000000" w:rsidR="00000000" w:rsidRPr="00000000">
        <w:rPr>
          <w:rFonts w:ascii="Lato" w:cs="Lato" w:eastAsia="Lato" w:hAnsi="Lato"/>
          <w:rtl w:val="0"/>
        </w:rPr>
        <w:t xml:space="preserve">—like simulations or real-data exercises—to build comfort in applying concepts practically.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5. Limitations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Sample Bias</w:t>
      </w:r>
      <w:r w:rsidDel="00000000" w:rsidR="00000000" w:rsidRPr="00000000">
        <w:rPr>
          <w:rFonts w:ascii="Lato" w:cs="Lato" w:eastAsia="Lato" w:hAnsi="Lato"/>
          <w:rtl w:val="0"/>
        </w:rPr>
        <w:t xml:space="preserve">: Voluntary survey nature may skew toward more FL-aware respondents or firms already engaged in training.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Low Response Density in Subgroups</w:t>
      </w:r>
      <w:r w:rsidDel="00000000" w:rsidR="00000000" w:rsidRPr="00000000">
        <w:rPr>
          <w:rFonts w:ascii="Lato" w:cs="Lato" w:eastAsia="Lato" w:hAnsi="Lato"/>
          <w:rtl w:val="0"/>
        </w:rPr>
        <w:t xml:space="preserve">: Some sectors or roles (e.g., junior staff in tech) had fewer than 10 observations and were excluded from comparative analysis.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Self-Reported Data</w:t>
      </w:r>
      <w:r w:rsidDel="00000000" w:rsidR="00000000" w:rsidRPr="00000000">
        <w:rPr>
          <w:rFonts w:ascii="Lato" w:cs="Lato" w:eastAsia="Lato" w:hAnsi="Lato"/>
          <w:rtl w:val="0"/>
        </w:rPr>
        <w:t xml:space="preserve">: Perception-based responses may not fully reflect actual competence levels.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6. Implications and Next Steps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The survey reveals a pressing need for targeted FL training, especially among non-finance managers in growth-oriented or capital-intensive sectors. Companies that integrate financial thinking across departments are better positioned to align strategy with execution, manage risk, and make sustainable investments.</w:t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890588" cy="47890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0588" cy="47890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