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E74B5"/>
          <w:sz w:val="24"/>
          <w:szCs w:val="24"/>
        </w:rPr>
        <w:t xml:space="preserve">LLM EVALUATION &amp; BENCHMARKING PLATFORM</w:t>
      </w:r>
    </w:p>
    <w:p>
      <w:pPr>
        <w:spacing w:before="400"/>
        <w:jc w:val="center"/>
      </w:pPr>
      <w:r>
        <w:rPr>
          <w:b/>
          <w:bCs/>
          <w:color w:val="1F3864"/>
          <w:sz w:val="56"/>
          <w:szCs w:val="56"/>
        </w:rPr>
        <w:t xml:space="preserve">User Requirements Specification</w:t>
      </w:r>
    </w:p>
    <w:p>
      <w:pPr>
        <w:spacing w:before="200"/>
        <w:jc w:val="center"/>
      </w:pPr>
      <w:r>
        <w:rPr>
          <w:i/>
          <w:iCs/>
          <w:color w:val="595959"/>
          <w:sz w:val="28"/>
          <w:szCs w:val="28"/>
        </w:rPr>
        <w:t xml:space="preserve">(URS)</w:t>
      </w:r>
    </w:p>
    <w:p>
      <w:pPr>
        <w:spacing w:before="1200"/>
        <w:jc w:val="center"/>
      </w:pPr>
      <w:r>
        <w:rPr>
          <w:sz w:val="22"/>
          <w:szCs w:val="22"/>
        </w:rPr>
        <w:t xml:space="preserve">Document Version 1.0</w:t>
      </w:r>
    </w:p>
    <w:p>
      <w:pPr>
        <w:jc w:val="center"/>
      </w:pPr>
      <w:r>
        <w:rPr>
          <w:sz w:val="22"/>
          <w:szCs w:val="22"/>
        </w:rPr>
        <w:t xml:space="preserve">September 2026</w:t>
      </w:r>
    </w:p>
    <w:p>
      <w:pPr>
        <w:spacing w:before="1600"/>
        <w:jc w:val="center"/>
      </w:pPr>
      <w:r>
        <w:rPr>
          <w:b/>
          <w:bCs/>
          <w:sz w:val="22"/>
          <w:szCs w:val="22"/>
        </w:rPr>
        <w:t xml:space="preserve">Prepared by</w:t>
      </w:r>
    </w:p>
    <w:p>
      <w:pPr>
        <w:jc w:val="center"/>
      </w:pPr>
      <w:r>
        <w:rPr>
          <w:sz w:val="22"/>
          <w:szCs w:val="22"/>
        </w:rPr>
        <w:t xml:space="preserve">Monish D — 24BDS1033</w:t>
      </w:r>
    </w:p>
    <w:p>
      <w:pPr>
        <w:jc w:val="center"/>
      </w:pPr>
      <w:r>
        <w:rPr>
          <w:sz w:val="22"/>
          <w:szCs w:val="22"/>
        </w:rPr>
        <w:t xml:space="preserve">Soaham S — 24BDS1021</w:t>
      </w:r>
    </w:p>
    <w:p>
      <w:pPr>
        <w:spacing w:before="800"/>
        <w:jc w:val="center"/>
      </w:pPr>
      <w:r>
        <w:rPr>
          <w:color w:val="595959"/>
          <w:sz w:val="20"/>
          <w:szCs w:val="20"/>
        </w:rPr>
        <w:t xml:space="preserve">Project: LLM Evaluation and Benchmarking Platform</w:t>
      </w:r>
    </w:p>
    <w:p>
      <w:pPr>
        <w:jc w:val="center"/>
      </w:pPr>
      <w:r>
        <w:rPr>
          <w:color w:val="595959"/>
          <w:sz w:val="20"/>
          <w:szCs w:val="20"/>
        </w:rPr>
        <w:t xml:space="preserve">Course: Software Engineering — Digital Assignment</w:t>
      </w:r>
    </w:p>
    <w:p>
      <w:r>
        <w:br w:type="page"/>
      </w:r>
    </w:p>
    <w:p>
      <w:pPr>
        <w:pStyle w:val="Heading1"/>
      </w:pPr>
      <w:r>
        <w:rPr>
          <w:b/>
          <w:bCs/>
          <w:color w:val="1F386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rPr>
        <w:t xml:space="preserve">1. Introduction</w:t>
      </w:r>
    </w:p>
    <w:p>
      <w:pPr>
        <w:pStyle w:val="Heading2"/>
        <w:spacing w:after="150" w:before="300"/>
      </w:pPr>
      <w:r>
        <w:rPr>
          <w:b/>
          <w:bCs/>
          <w:color w:val="2E74B5"/>
        </w:rPr>
        <w:t xml:space="preserve">1.1 Purpose</w:t>
      </w:r>
    </w:p>
    <w:p>
      <w:pPr>
        <w:spacing w:after="160"/>
        <w:jc w:val="both"/>
      </w:pPr>
      <w:r>
        <w:rPr>
          <w:sz w:val="22"/>
          <w:szCs w:val="22"/>
        </w:rPr>
        <w:t xml:space="preserve">This User Requirements Specification (URS) describes, from the perspective of the intended users, what the LLM Evaluation and Benchmarking Platform ("the Platform") must do. It captures user needs, goals, and expectations independent of implementation detail, and forms the basis from which the Software Requirements Specification (SRS) derives detailed functional and non-functional requirements. Unlike a general-purpose leaderboard, the Platform's defining user need is comparative positioning: telling a user not just "how good" a model is, but where it stands relative to established industry-standard models and which specific capability areas (e.g., coding, mathematical reasoning, creative writing, long-context reasoning, factual grounding) it is strong or weak in.</w:t>
      </w:r>
    </w:p>
    <w:p>
      <w:pPr>
        <w:pStyle w:val="Heading2"/>
        <w:spacing w:after="150" w:before="300"/>
      </w:pPr>
      <w:r>
        <w:rPr>
          <w:b/>
          <w:bCs/>
          <w:color w:val="2E74B5"/>
        </w:rPr>
        <w:t xml:space="preserve">1.2 Scope</w:t>
      </w:r>
    </w:p>
    <w:p>
      <w:pPr>
        <w:spacing w:after="160"/>
        <w:jc w:val="both"/>
      </w:pPr>
      <w:r>
        <w:rPr>
          <w:sz w:val="22"/>
          <w:szCs w:val="22"/>
        </w:rPr>
        <w:t xml:space="preserve">The Platform allows a user to register multiple LLMs (proprietary API-based models and, optionally, open-source/self-hosted models), run standardized and custom benchmark suites against them, and receive a multi-dimensional report that includes quality, reliability, hallucination, capability, efficiency, and cost metrics, together with a relative standing against reference/industry-baseline models and a strengths/weaknesses capability profile per model.</w:t>
      </w:r>
    </w:p>
    <w:p>
      <w:pPr>
        <w:pStyle w:val="Heading2"/>
        <w:spacing w:after="150" w:before="300"/>
      </w:pPr>
      <w:r>
        <w:rPr>
          <w:b/>
          <w:bCs/>
          <w:color w:val="2E74B5"/>
        </w:rPr>
        <w:t xml:space="preserve">1.3 Intended Audience</w:t>
      </w:r>
    </w:p>
    <w:p>
      <w:pPr>
        <w:pStyle w:val="ListParagraph"/>
        <w:numPr>
          <w:ilvl w:val="0"/>
          <w:numId w:val="2"/>
        </w:numPr>
        <w:spacing w:after="80"/>
      </w:pPr>
      <w:r>
        <w:rPr>
          <w:sz w:val="22"/>
          <w:szCs w:val="22"/>
        </w:rPr>
        <w:t xml:space="preserve">ML/AI engineers and application developers choosing a model for a product feature.</w:t>
      </w:r>
    </w:p>
    <w:p>
      <w:pPr>
        <w:pStyle w:val="ListParagraph"/>
        <w:numPr>
          <w:ilvl w:val="0"/>
          <w:numId w:val="2"/>
        </w:numPr>
        <w:spacing w:after="80"/>
      </w:pPr>
      <w:r>
        <w:rPr>
          <w:sz w:val="22"/>
          <w:szCs w:val="22"/>
        </w:rPr>
        <w:t xml:space="preserve">Research teams benchmarking new or fine-tuned models against established baselines.</w:t>
      </w:r>
    </w:p>
    <w:p>
      <w:pPr>
        <w:pStyle w:val="ListParagraph"/>
        <w:numPr>
          <w:ilvl w:val="0"/>
          <w:numId w:val="2"/>
        </w:numPr>
        <w:spacing w:after="80"/>
      </w:pPr>
      <w:r>
        <w:rPr>
          <w:sz w:val="22"/>
          <w:szCs w:val="22"/>
        </w:rPr>
        <w:t xml:space="preserve">Engineering managers making cost/quality/latency trade-off decisions.</w:t>
      </w:r>
    </w:p>
    <w:p>
      <w:pPr>
        <w:pStyle w:val="ListParagraph"/>
        <w:numPr>
          <w:ilvl w:val="0"/>
          <w:numId w:val="2"/>
        </w:numPr>
        <w:spacing w:after="80"/>
      </w:pPr>
      <w:r>
        <w:rPr>
          <w:sz w:val="22"/>
          <w:szCs w:val="22"/>
        </w:rPr>
        <w:t xml:space="preserve">Students and academic evaluators (this project's primary near-term users).</w:t>
      </w:r>
    </w:p>
    <w:p>
      <w:pPr>
        <w:pStyle w:val="ListParagraph"/>
        <w:numPr>
          <w:ilvl w:val="0"/>
          <w:numId w:val="2"/>
        </w:numPr>
        <w:spacing w:after="80"/>
      </w:pPr>
      <w:r>
        <w:rPr>
          <w:sz w:val="22"/>
          <w:szCs w:val="22"/>
        </w:rPr>
        <w:t xml:space="preserve">QA/reliability teams who need hallucination and factuality tracking over time.</w:t>
      </w:r>
    </w:p>
    <w:p>
      <w:pPr>
        <w:pStyle w:val="Heading2"/>
        <w:spacing w:after="150" w:before="300"/>
      </w:pPr>
      <w:r>
        <w:rPr>
          <w:b/>
          <w:bCs/>
          <w:color w:val="2E74B5"/>
        </w:rPr>
        <w:t xml:space="preserve">1.4 Definitions, Acronyms and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tcW w:type="dxa" w:w="3500"/>
            <w:shd w:fill="1F3864" w:val="clear"/>
            <w:tcMar>
              <w:top w:type="dxa" w:w="80"/>
              <w:left w:type="dxa" w:w="100"/>
              <w:bottom w:type="dxa" w:w="80"/>
              <w:right w:type="dxa" w:w="100"/>
            </w:tcMar>
          </w:tcPr>
          <w:p>
            <w:r>
              <w:rPr>
                <w:b/>
                <w:bCs/>
                <w:color w:val="FFFFFF"/>
                <w:sz w:val="20"/>
                <w:szCs w:val="20"/>
              </w:rPr>
              <w:t xml:space="preserve">Term</w:t>
            </w:r>
          </w:p>
        </w:tc>
        <w:tc>
          <w:tcPr>
            <w:tcW w:type="dxa" w:w="5850"/>
            <w:shd w:fill="1F3864" w:val="clear"/>
            <w:tcMar>
              <w:top w:type="dxa" w:w="80"/>
              <w:left w:type="dxa" w:w="100"/>
              <w:bottom w:type="dxa" w:w="80"/>
              <w:right w:type="dxa" w:w="100"/>
            </w:tcMar>
          </w:tcPr>
          <w:p>
            <w:r>
              <w:rPr>
                <w:b/>
                <w:bCs/>
                <w:color w:val="FFFFFF"/>
                <w:sz w:val="20"/>
                <w:szCs w:val="20"/>
              </w:rPr>
              <w:t xml:space="preserve">Definition</w:t>
            </w:r>
          </w:p>
        </w:tc>
      </w:tr>
      <w:tr>
        <w:tc>
          <w:tcPr>
            <w:tcW w:type="dxa" w:w="3500"/>
            <w:tcMar>
              <w:top w:type="dxa" w:w="80"/>
              <w:left w:type="dxa" w:w="100"/>
              <w:bottom w:type="dxa" w:w="80"/>
              <w:right w:type="dxa" w:w="100"/>
            </w:tcMar>
          </w:tcPr>
          <w:p>
            <w:r>
              <w:rPr>
                <w:b w:val="false"/>
                <w:bCs w:val="false"/>
                <w:color w:val="000000"/>
                <w:sz w:val="20"/>
                <w:szCs w:val="20"/>
              </w:rPr>
              <w:t xml:space="preserve">LLM</w:t>
            </w:r>
          </w:p>
        </w:tc>
        <w:tc>
          <w:tcPr>
            <w:tcW w:type="dxa" w:w="5850"/>
            <w:tcMar>
              <w:top w:type="dxa" w:w="80"/>
              <w:left w:type="dxa" w:w="100"/>
              <w:bottom w:type="dxa" w:w="80"/>
              <w:right w:type="dxa" w:w="100"/>
            </w:tcMar>
          </w:tcPr>
          <w:p>
            <w:r>
              <w:rPr>
                <w:b w:val="false"/>
                <w:bCs w:val="false"/>
                <w:color w:val="000000"/>
                <w:sz w:val="20"/>
                <w:szCs w:val="20"/>
              </w:rPr>
              <w:t xml:space="preserve">Large Language Model</w:t>
            </w:r>
          </w:p>
        </w:tc>
      </w:tr>
      <w:tr>
        <w:tc>
          <w:tcPr>
            <w:tcW w:type="dxa" w:w="3500"/>
            <w:tcMar>
              <w:top w:type="dxa" w:w="80"/>
              <w:left w:type="dxa" w:w="100"/>
              <w:bottom w:type="dxa" w:w="80"/>
              <w:right w:type="dxa" w:w="100"/>
            </w:tcMar>
          </w:tcPr>
          <w:p>
            <w:r>
              <w:rPr>
                <w:b w:val="false"/>
                <w:bCs w:val="false"/>
                <w:color w:val="000000"/>
                <w:sz w:val="20"/>
                <w:szCs w:val="20"/>
              </w:rPr>
              <w:t xml:space="preserve">Baseline / Reference Model</w:t>
            </w:r>
          </w:p>
        </w:tc>
        <w:tc>
          <w:tcPr>
            <w:tcW w:type="dxa" w:w="5850"/>
            <w:tcMar>
              <w:top w:type="dxa" w:w="80"/>
              <w:left w:type="dxa" w:w="100"/>
              <w:bottom w:type="dxa" w:w="80"/>
              <w:right w:type="dxa" w:w="100"/>
            </w:tcMar>
          </w:tcPr>
          <w:p>
            <w:r>
              <w:rPr>
                <w:b w:val="false"/>
                <w:bCs w:val="false"/>
                <w:color w:val="000000"/>
                <w:sz w:val="20"/>
                <w:szCs w:val="20"/>
              </w:rPr>
              <w:t xml:space="preserve">A well-known industry-standard model (e.g., GPT-4.x, Claude, Gemini) used as the comparison anchor for relative positioning</w:t>
            </w:r>
          </w:p>
        </w:tc>
      </w:tr>
      <w:tr>
        <w:tc>
          <w:tcPr>
            <w:tcW w:type="dxa" w:w="3500"/>
            <w:tcMar>
              <w:top w:type="dxa" w:w="80"/>
              <w:left w:type="dxa" w:w="100"/>
              <w:bottom w:type="dxa" w:w="80"/>
              <w:right w:type="dxa" w:w="100"/>
            </w:tcMar>
          </w:tcPr>
          <w:p>
            <w:r>
              <w:rPr>
                <w:b w:val="false"/>
                <w:bCs w:val="false"/>
                <w:color w:val="000000"/>
                <w:sz w:val="20"/>
                <w:szCs w:val="20"/>
              </w:rPr>
              <w:t xml:space="preserve">Capability Profile</w:t>
            </w:r>
          </w:p>
        </w:tc>
        <w:tc>
          <w:tcPr>
            <w:tcW w:type="dxa" w:w="5850"/>
            <w:tcMar>
              <w:top w:type="dxa" w:w="80"/>
              <w:left w:type="dxa" w:w="100"/>
              <w:bottom w:type="dxa" w:w="80"/>
              <w:right w:type="dxa" w:w="100"/>
            </w:tcMar>
          </w:tcPr>
          <w:p>
            <w:r>
              <w:rPr>
                <w:b w:val="false"/>
                <w:bCs w:val="false"/>
                <w:color w:val="000000"/>
                <w:sz w:val="20"/>
                <w:szCs w:val="20"/>
              </w:rPr>
              <w:t xml:space="preserve">A per-model breakdown of relative strength/weakness across task categories (coding, math, reasoning, creative writing, summarization, long-context, factuality, etc.)</w:t>
            </w:r>
          </w:p>
        </w:tc>
      </w:tr>
      <w:tr>
        <w:tc>
          <w:tcPr>
            <w:tcW w:type="dxa" w:w="3500"/>
            <w:tcMar>
              <w:top w:type="dxa" w:w="80"/>
              <w:left w:type="dxa" w:w="100"/>
              <w:bottom w:type="dxa" w:w="80"/>
              <w:right w:type="dxa" w:w="100"/>
            </w:tcMar>
          </w:tcPr>
          <w:p>
            <w:r>
              <w:rPr>
                <w:b w:val="false"/>
                <w:bCs w:val="false"/>
                <w:color w:val="000000"/>
                <w:sz w:val="20"/>
                <w:szCs w:val="20"/>
              </w:rPr>
              <w:t xml:space="preserve">Hallucination</w:t>
            </w:r>
          </w:p>
        </w:tc>
        <w:tc>
          <w:tcPr>
            <w:tcW w:type="dxa" w:w="5850"/>
            <w:tcMar>
              <w:top w:type="dxa" w:w="80"/>
              <w:left w:type="dxa" w:w="100"/>
              <w:bottom w:type="dxa" w:w="80"/>
              <w:right w:type="dxa" w:w="100"/>
            </w:tcMar>
          </w:tcPr>
          <w:p>
            <w:r>
              <w:rPr>
                <w:b w:val="false"/>
                <w:bCs w:val="false"/>
                <w:color w:val="000000"/>
                <w:sz w:val="20"/>
                <w:szCs w:val="20"/>
              </w:rPr>
              <w:t xml:space="preserve">Fabricated, factually incorrect, or unsupported content generated by a model</w:t>
            </w:r>
          </w:p>
        </w:tc>
      </w:tr>
      <w:tr>
        <w:tc>
          <w:tcPr>
            <w:tcW w:type="dxa" w:w="3500"/>
            <w:tcMar>
              <w:top w:type="dxa" w:w="80"/>
              <w:left w:type="dxa" w:w="100"/>
              <w:bottom w:type="dxa" w:w="80"/>
              <w:right w:type="dxa" w:w="100"/>
            </w:tcMar>
          </w:tcPr>
          <w:p>
            <w:r>
              <w:rPr>
                <w:b w:val="false"/>
                <w:bCs w:val="false"/>
                <w:color w:val="000000"/>
                <w:sz w:val="20"/>
                <w:szCs w:val="20"/>
              </w:rPr>
              <w:t xml:space="preserve">LLM-as-a-Judge</w:t>
            </w:r>
          </w:p>
        </w:tc>
        <w:tc>
          <w:tcPr>
            <w:tcW w:type="dxa" w:w="5850"/>
            <w:tcMar>
              <w:top w:type="dxa" w:w="80"/>
              <w:left w:type="dxa" w:w="100"/>
              <w:bottom w:type="dxa" w:w="80"/>
              <w:right w:type="dxa" w:w="100"/>
            </w:tcMar>
          </w:tcPr>
          <w:p>
            <w:r>
              <w:rPr>
                <w:b w:val="false"/>
                <w:bCs w:val="false"/>
                <w:color w:val="000000"/>
                <w:sz w:val="20"/>
                <w:szCs w:val="20"/>
              </w:rPr>
              <w:t xml:space="preserve">Using a separate LLM to score or compare the outputs of the models under test</w:t>
            </w:r>
          </w:p>
        </w:tc>
      </w:tr>
      <w:tr>
        <w:tc>
          <w:tcPr>
            <w:tcW w:type="dxa" w:w="3500"/>
            <w:tcMar>
              <w:top w:type="dxa" w:w="80"/>
              <w:left w:type="dxa" w:w="100"/>
              <w:bottom w:type="dxa" w:w="80"/>
              <w:right w:type="dxa" w:w="100"/>
            </w:tcMar>
          </w:tcPr>
          <w:p>
            <w:r>
              <w:rPr>
                <w:b w:val="false"/>
                <w:bCs w:val="false"/>
                <w:color w:val="000000"/>
                <w:sz w:val="20"/>
                <w:szCs w:val="20"/>
              </w:rPr>
              <w:t xml:space="preserve">Benchmark Run</w:t>
            </w:r>
          </w:p>
        </w:tc>
        <w:tc>
          <w:tcPr>
            <w:tcW w:type="dxa" w:w="5850"/>
            <w:tcMar>
              <w:top w:type="dxa" w:w="80"/>
              <w:left w:type="dxa" w:w="100"/>
              <w:bottom w:type="dxa" w:w="80"/>
              <w:right w:type="dxa" w:w="100"/>
            </w:tcMar>
          </w:tcPr>
          <w:p>
            <w:r>
              <w:rPr>
                <w:b w:val="false"/>
                <w:bCs w:val="false"/>
                <w:color w:val="000000"/>
                <w:sz w:val="20"/>
                <w:szCs w:val="20"/>
              </w:rPr>
              <w:t xml:space="preserve">A single execution of a defined dataset + prompt set + model set + evaluation configuration</w:t>
            </w:r>
          </w:p>
        </w:tc>
      </w:tr>
    </w:tbl>
    <w:p>
      <w:pPr>
        <w:pStyle w:val="Heading2"/>
        <w:spacing w:after="150" w:before="300"/>
      </w:pPr>
      <w:r>
        <w:rPr>
          <w:b/>
          <w:bCs/>
          <w:color w:val="2E74B5"/>
        </w:rPr>
        <w:t xml:space="preserve">1.5 References</w:t>
      </w:r>
    </w:p>
    <w:p>
      <w:pPr>
        <w:spacing w:after="160"/>
        <w:jc w:val="both"/>
      </w:pPr>
      <w:r>
        <w:rPr>
          <w:sz w:val="22"/>
          <w:szCs w:val="22"/>
        </w:rPr>
        <w:t xml:space="preserve">Digital Assignment 1 report — "LLM Evaluation &amp; Benchmarking Platform" (Monish D, Soaham S), which supplies the domain background, motivation, and preliminary evaluation-parameter taxonomy on which this URS builds.</w:t>
      </w:r>
    </w:p>
    <w:p>
      <w:pPr>
        <w:pStyle w:val="Heading1"/>
        <w:spacing w:after="200" w:before="400"/>
      </w:pPr>
      <w:r>
        <w:rPr>
          <w:b/>
          <w:bCs/>
          <w:color w:val="1F3864"/>
        </w:rPr>
        <w:t xml:space="preserve">2. Overall User Description</w:t>
      </w:r>
    </w:p>
    <w:p>
      <w:pPr>
        <w:pStyle w:val="Heading2"/>
        <w:spacing w:after="150" w:before="300"/>
      </w:pPr>
      <w:r>
        <w:rPr>
          <w:b/>
          <w:bCs/>
          <w:color w:val="2E74B5"/>
        </w:rPr>
        <w:t xml:space="preserve">2.1 User Characteristics</w:t>
      </w:r>
    </w:p>
    <w:p>
      <w:pPr>
        <w:spacing w:after="160"/>
        <w:jc w:val="both"/>
      </w:pPr>
      <w:r>
        <w:rPr>
          <w:sz w:val="22"/>
          <w:szCs w:val="22"/>
        </w:rPr>
        <w:t xml:space="preserve">Primary users are technically literate (able to read benchmark tables and charts) but are not necessarily ML researchers; the interface must therefore translate raw metrics into plain-language positioning statements (e.g., "This model performs on par with GPT-4-class models for coding but is 30% more prone to hallucination on open-domain factual QA").</w:t>
      </w:r>
    </w:p>
    <w:p>
      <w:pPr>
        <w:pStyle w:val="Heading2"/>
        <w:spacing w:after="150" w:before="300"/>
      </w:pPr>
      <w:r>
        <w:rPr>
          <w:b/>
          <w:bCs/>
          <w:color w:val="2E74B5"/>
        </w:rPr>
        <w:t xml:space="preserve">2.2 User Goals</w:t>
      </w:r>
    </w:p>
    <w:p>
      <w:pPr>
        <w:pStyle w:val="ListParagraph"/>
        <w:numPr>
          <w:ilvl w:val="0"/>
          <w:numId w:val="3"/>
        </w:numPr>
        <w:spacing w:after="80"/>
      </w:pPr>
      <w:r>
        <w:rPr>
          <w:sz w:val="22"/>
          <w:szCs w:val="22"/>
        </w:rPr>
        <w:t xml:space="preserve">Compare several candidate LLMs on identical tasks under identical conditions.</w:t>
      </w:r>
    </w:p>
    <w:p>
      <w:pPr>
        <w:pStyle w:val="ListParagraph"/>
        <w:numPr>
          <w:ilvl w:val="0"/>
          <w:numId w:val="3"/>
        </w:numPr>
        <w:spacing w:after="80"/>
      </w:pPr>
      <w:r>
        <w:rPr>
          <w:sz w:val="22"/>
          <w:szCs w:val="22"/>
        </w:rPr>
        <w:t xml:space="preserve">Understand, in relative terms, how each candidate stands against known industry-standard models — not just an absolute score.</w:t>
      </w:r>
    </w:p>
    <w:p>
      <w:pPr>
        <w:pStyle w:val="ListParagraph"/>
        <w:numPr>
          <w:ilvl w:val="0"/>
          <w:numId w:val="3"/>
        </w:numPr>
        <w:spacing w:after="80"/>
      </w:pPr>
      <w:r>
        <w:rPr>
          <w:sz w:val="22"/>
          <w:szCs w:val="22"/>
        </w:rPr>
        <w:t xml:space="preserve">Identify the specific capability categories in which a model excels or underperforms, so the right model can be picked for the right sub-task (e.g., a cheap model for routine summarization, a stronger model reserved only for reasoning-heavy calls).</w:t>
      </w:r>
    </w:p>
    <w:p>
      <w:pPr>
        <w:pStyle w:val="ListParagraph"/>
        <w:numPr>
          <w:ilvl w:val="0"/>
          <w:numId w:val="3"/>
        </w:numPr>
        <w:spacing w:after="80"/>
      </w:pPr>
      <w:r>
        <w:rPr>
          <w:sz w:val="22"/>
          <w:szCs w:val="22"/>
        </w:rPr>
        <w:t xml:space="preserve">Track a model's hallucination and factual-reliability behavior separately from raw task accuracy.</w:t>
      </w:r>
    </w:p>
    <w:p>
      <w:pPr>
        <w:pStyle w:val="ListParagraph"/>
        <w:numPr>
          <w:ilvl w:val="0"/>
          <w:numId w:val="3"/>
        </w:numPr>
        <w:spacing w:after="80"/>
      </w:pPr>
      <w:r>
        <w:rPr>
          <w:sz w:val="22"/>
          <w:szCs w:val="22"/>
        </w:rPr>
        <w:t xml:space="preserve">Understand the cost and latency implications of a choice, not only its quality.</w:t>
      </w:r>
    </w:p>
    <w:p>
      <w:pPr>
        <w:pStyle w:val="ListParagraph"/>
        <w:numPr>
          <w:ilvl w:val="0"/>
          <w:numId w:val="3"/>
        </w:numPr>
        <w:spacing w:after="80"/>
      </w:pPr>
      <w:r>
        <w:rPr>
          <w:sz w:val="22"/>
          <w:szCs w:val="22"/>
        </w:rPr>
        <w:t xml:space="preserve">Reproduce a past benchmark run exactly, to validate whether a newer model version has improved or regressed.</w:t>
      </w:r>
    </w:p>
    <w:p>
      <w:pPr>
        <w:pStyle w:val="ListParagraph"/>
        <w:numPr>
          <w:ilvl w:val="0"/>
          <w:numId w:val="3"/>
        </w:numPr>
        <w:spacing w:after="80"/>
      </w:pPr>
      <w:r>
        <w:rPr>
          <w:sz w:val="22"/>
          <w:szCs w:val="22"/>
        </w:rPr>
        <w:t xml:space="preserve">Export a shareable, presentable report for a team or academic submission.</w:t>
      </w:r>
    </w:p>
    <w:p>
      <w:pPr>
        <w:pStyle w:val="Heading2"/>
        <w:spacing w:after="150" w:before="300"/>
      </w:pPr>
      <w:r>
        <w:rPr>
          <w:b/>
          <w:bCs/>
          <w:color w:val="2E74B5"/>
        </w:rPr>
        <w:t xml:space="preserve">2.3 User Environment</w:t>
      </w:r>
    </w:p>
    <w:p>
      <w:pPr>
        <w:spacing w:after="160"/>
        <w:jc w:val="both"/>
      </w:pPr>
      <w:r>
        <w:rPr>
          <w:sz w:val="22"/>
          <w:szCs w:val="22"/>
        </w:rPr>
        <w:t xml:space="preserve">The Platform is accessed through a standard web browser on a laptop/desktop. Users may have limited or no budget for paid model APIs, so the environment must work with free-tier and open-source model access (e.g., OpenRouter free models, self-hosted models via free inference credits) alongside any paid APIs the user chooses to add.</w:t>
      </w:r>
    </w:p>
    <w:p>
      <w:pPr>
        <w:pStyle w:val="Heading2"/>
        <w:spacing w:after="150" w:before="300"/>
      </w:pPr>
      <w:r>
        <w:rPr>
          <w:b/>
          <w:bCs/>
          <w:color w:val="2E74B5"/>
        </w:rPr>
        <w:t xml:space="preserve">2.4 Assumptions and Dependencies</w:t>
      </w:r>
    </w:p>
    <w:p>
      <w:pPr>
        <w:pStyle w:val="ListParagraph"/>
        <w:numPr>
          <w:ilvl w:val="0"/>
          <w:numId w:val="2"/>
        </w:numPr>
        <w:spacing w:after="80"/>
      </w:pPr>
      <w:r>
        <w:rPr>
          <w:sz w:val="22"/>
          <w:szCs w:val="22"/>
        </w:rPr>
        <w:t xml:space="preserve">Users have valid API keys (or use free-tier equivalents) for at least one LLM provider.</w:t>
      </w:r>
    </w:p>
    <w:p>
      <w:pPr>
        <w:pStyle w:val="ListParagraph"/>
        <w:numPr>
          <w:ilvl w:val="0"/>
          <w:numId w:val="2"/>
        </w:numPr>
        <w:spacing w:after="80"/>
      </w:pPr>
      <w:r>
        <w:rPr>
          <w:sz w:val="22"/>
          <w:szCs w:val="22"/>
        </w:rPr>
        <w:t xml:space="preserve">Reference/baseline model results may need to be pre-computed and cached because continuously re-running expensive proprietary baselines is not always affordable.</w:t>
      </w:r>
    </w:p>
    <w:p>
      <w:pPr>
        <w:pStyle w:val="ListParagraph"/>
        <w:numPr>
          <w:ilvl w:val="0"/>
          <w:numId w:val="2"/>
        </w:numPr>
        <w:spacing w:after="80"/>
      </w:pPr>
      <w:r>
        <w:rPr>
          <w:sz w:val="22"/>
          <w:szCs w:val="22"/>
        </w:rPr>
        <w:t xml:space="preserve">Internet connectivity is required for any hosted-model evaluation.</w:t>
      </w:r>
    </w:p>
    <w:p>
      <w:pPr>
        <w:pStyle w:val="Heading1"/>
        <w:spacing w:after="200" w:before="400"/>
      </w:pPr>
      <w:r>
        <w:rPr>
          <w:b/>
          <w:bCs/>
          <w:color w:val="1F3864"/>
        </w:rPr>
        <w:t xml:space="preserve">3. User Requirements</w:t>
      </w:r>
    </w:p>
    <w:p>
      <w:pPr>
        <w:spacing w:after="160"/>
        <w:jc w:val="both"/>
      </w:pPr>
      <w:r>
        <w:rPr>
          <w:sz w:val="22"/>
          <w:szCs w:val="22"/>
        </w:rPr>
        <w:t xml:space="preserve">Each requirement is expressed as a user story with an associated priority (Must / Should / Could, MoSCoW) and acceptance criteria.</w:t>
      </w:r>
    </w:p>
    <w:p>
      <w:pPr>
        <w:pStyle w:val="Heading2"/>
        <w:spacing w:after="150" w:before="300"/>
      </w:pPr>
      <w:r>
        <w:rPr>
          <w:b/>
          <w:bCs/>
          <w:color w:val="2E74B5"/>
        </w:rPr>
        <w:t xml:space="preserve">3.1 Model &amp; Dataset Selection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650"/>
      </w:tblGrid>
      <w:tr>
        <w:trPr>
          <w:tblHeader/>
        </w:trPr>
        <w:tc>
          <w:tcPr>
            <w:tcW w:type="dxa" w:w="1100"/>
            <w:shd w:fill="1F3864" w:val="clear"/>
            <w:tcMar>
              <w:top w:type="dxa" w:w="80"/>
              <w:left w:type="dxa" w:w="100"/>
              <w:bottom w:type="dxa" w:w="80"/>
              <w:right w:type="dxa" w:w="100"/>
            </w:tcMar>
          </w:tcPr>
          <w:p>
            <w:r>
              <w:rPr>
                <w:b/>
                <w:bCs/>
                <w:color w:val="FFFFFF"/>
                <w:sz w:val="20"/>
                <w:szCs w:val="20"/>
              </w:rPr>
              <w:t xml:space="preserve">ID</w:t>
            </w:r>
          </w:p>
        </w:tc>
        <w:tc>
          <w:tcPr>
            <w:tcW w:type="dxa" w:w="6600"/>
            <w:shd w:fill="1F3864" w:val="clear"/>
            <w:tcMar>
              <w:top w:type="dxa" w:w="80"/>
              <w:left w:type="dxa" w:w="100"/>
              <w:bottom w:type="dxa" w:w="80"/>
              <w:right w:type="dxa" w:w="100"/>
            </w:tcMar>
          </w:tcPr>
          <w:p>
            <w:r>
              <w:rPr>
                <w:b/>
                <w:bCs/>
                <w:color w:val="FFFFFF"/>
                <w:sz w:val="20"/>
                <w:szCs w:val="20"/>
              </w:rPr>
              <w:t xml:space="preserve">User Story</w:t>
            </w:r>
          </w:p>
        </w:tc>
        <w:tc>
          <w:tcPr>
            <w:tcW w:type="dxa" w:w="1650"/>
            <w:shd w:fill="1F3864" w:val="clear"/>
            <w:tcMar>
              <w:top w:type="dxa" w:w="80"/>
              <w:left w:type="dxa" w:w="100"/>
              <w:bottom w:type="dxa" w:w="80"/>
              <w:right w:type="dxa" w:w="100"/>
            </w:tcMar>
          </w:tcPr>
          <w:p>
            <w:r>
              <w:rPr>
                <w:b/>
                <w:bCs/>
                <w:color w:val="FFFFFF"/>
                <w:sz w:val="20"/>
                <w:szCs w:val="20"/>
              </w:rPr>
              <w:t xml:space="preserve">Priority</w:t>
            </w:r>
          </w:p>
        </w:tc>
      </w:tr>
      <w:tr>
        <w:tc>
          <w:tcPr>
            <w:tcW w:type="dxa" w:w="1100"/>
            <w:tcMar>
              <w:top w:type="dxa" w:w="80"/>
              <w:left w:type="dxa" w:w="100"/>
              <w:bottom w:type="dxa" w:w="80"/>
              <w:right w:type="dxa" w:w="100"/>
            </w:tcMar>
          </w:tcPr>
          <w:p>
            <w:r>
              <w:rPr>
                <w:b w:val="false"/>
                <w:bCs w:val="false"/>
                <w:color w:val="000000"/>
                <w:sz w:val="20"/>
                <w:szCs w:val="20"/>
              </w:rPr>
              <w:t xml:space="preserve">UR-01</w:t>
            </w:r>
          </w:p>
        </w:tc>
        <w:tc>
          <w:tcPr>
            <w:tcW w:type="dxa" w:w="6600"/>
            <w:tcMar>
              <w:top w:type="dxa" w:w="80"/>
              <w:left w:type="dxa" w:w="100"/>
              <w:bottom w:type="dxa" w:w="80"/>
              <w:right w:type="dxa" w:w="100"/>
            </w:tcMar>
          </w:tcPr>
          <w:p>
            <w:r>
              <w:rPr>
                <w:b w:val="false"/>
                <w:bCs w:val="false"/>
                <w:color w:val="000000"/>
                <w:sz w:val="20"/>
                <w:szCs w:val="20"/>
              </w:rPr>
              <w:t xml:space="preserve">As a user, I want to select one or more LLMs from a provider list so that I can benchmark them together.</w:t>
            </w:r>
          </w:p>
        </w:tc>
        <w:tc>
          <w:tcPr>
            <w:tcW w:type="dxa" w:w="1650"/>
            <w:tcMar>
              <w:top w:type="dxa" w:w="80"/>
              <w:left w:type="dxa" w:w="100"/>
              <w:bottom w:type="dxa" w:w="80"/>
              <w:right w:type="dxa" w:w="100"/>
            </w:tcMar>
          </w:tcPr>
          <w:p>
            <w:r>
              <w:rPr>
                <w:b w:val="false"/>
                <w:bCs w:val="false"/>
                <w:color w:val="000000"/>
                <w:sz w:val="20"/>
                <w:szCs w:val="20"/>
              </w:rPr>
              <w:t xml:space="preserve">Must</w:t>
            </w:r>
          </w:p>
        </w:tc>
      </w:tr>
      <w:tr>
        <w:tc>
          <w:tcPr>
            <w:tcW w:type="dxa" w:w="1100"/>
            <w:tcMar>
              <w:top w:type="dxa" w:w="80"/>
              <w:left w:type="dxa" w:w="100"/>
              <w:bottom w:type="dxa" w:w="80"/>
              <w:right w:type="dxa" w:w="100"/>
            </w:tcMar>
          </w:tcPr>
          <w:p>
            <w:r>
              <w:rPr>
                <w:b w:val="false"/>
                <w:bCs w:val="false"/>
                <w:color w:val="000000"/>
                <w:sz w:val="20"/>
                <w:szCs w:val="20"/>
              </w:rPr>
              <w:t xml:space="preserve">UR-02</w:t>
            </w:r>
          </w:p>
        </w:tc>
        <w:tc>
          <w:tcPr>
            <w:tcW w:type="dxa" w:w="6600"/>
            <w:tcMar>
              <w:top w:type="dxa" w:w="80"/>
              <w:left w:type="dxa" w:w="100"/>
              <w:bottom w:type="dxa" w:w="80"/>
              <w:right w:type="dxa" w:w="100"/>
            </w:tcMar>
          </w:tcPr>
          <w:p>
            <w:r>
              <w:rPr>
                <w:b w:val="false"/>
                <w:bCs w:val="false"/>
                <w:color w:val="000000"/>
                <w:sz w:val="20"/>
                <w:szCs w:val="20"/>
              </w:rPr>
              <w:t xml:space="preserve">As a user, I want to pick from prebuilt benchmark datasets (coding, math, reasoning, summarization, creative writing, factual QA, long-context) so I don't have to build my own.</w:t>
            </w:r>
          </w:p>
        </w:tc>
        <w:tc>
          <w:tcPr>
            <w:tcW w:type="dxa" w:w="1650"/>
            <w:tcMar>
              <w:top w:type="dxa" w:w="80"/>
              <w:left w:type="dxa" w:w="100"/>
              <w:bottom w:type="dxa" w:w="80"/>
              <w:right w:type="dxa" w:w="100"/>
            </w:tcMar>
          </w:tcPr>
          <w:p>
            <w:r>
              <w:rPr>
                <w:b w:val="false"/>
                <w:bCs w:val="false"/>
                <w:color w:val="000000"/>
                <w:sz w:val="20"/>
                <w:szCs w:val="20"/>
              </w:rPr>
              <w:t xml:space="preserve">Must</w:t>
            </w:r>
          </w:p>
        </w:tc>
      </w:tr>
      <w:tr>
        <w:tc>
          <w:tcPr>
            <w:tcW w:type="dxa" w:w="1100"/>
            <w:tcMar>
              <w:top w:type="dxa" w:w="80"/>
              <w:left w:type="dxa" w:w="100"/>
              <w:bottom w:type="dxa" w:w="80"/>
              <w:right w:type="dxa" w:w="100"/>
            </w:tcMar>
          </w:tcPr>
          <w:p>
            <w:r>
              <w:rPr>
                <w:b w:val="false"/>
                <w:bCs w:val="false"/>
                <w:color w:val="000000"/>
                <w:sz w:val="20"/>
                <w:szCs w:val="20"/>
              </w:rPr>
              <w:t xml:space="preserve">UR-03</w:t>
            </w:r>
          </w:p>
        </w:tc>
        <w:tc>
          <w:tcPr>
            <w:tcW w:type="dxa" w:w="6600"/>
            <w:tcMar>
              <w:top w:type="dxa" w:w="80"/>
              <w:left w:type="dxa" w:w="100"/>
              <w:bottom w:type="dxa" w:w="80"/>
              <w:right w:type="dxa" w:w="100"/>
            </w:tcMar>
          </w:tcPr>
          <w:p>
            <w:r>
              <w:rPr>
                <w:b w:val="false"/>
                <w:bCs w:val="false"/>
                <w:color w:val="000000"/>
                <w:sz w:val="20"/>
                <w:szCs w:val="20"/>
              </w:rPr>
              <w:t xml:space="preserve">As a user, I want to upload a custom dataset/prompt set so that I can test models on my own use case.</w:t>
            </w:r>
          </w:p>
        </w:tc>
        <w:tc>
          <w:tcPr>
            <w:tcW w:type="dxa" w:w="1650"/>
            <w:tcMar>
              <w:top w:type="dxa" w:w="80"/>
              <w:left w:type="dxa" w:w="100"/>
              <w:bottom w:type="dxa" w:w="80"/>
              <w:right w:type="dxa" w:w="100"/>
            </w:tcMar>
          </w:tcPr>
          <w:p>
            <w:r>
              <w:rPr>
                <w:b w:val="false"/>
                <w:bCs w:val="false"/>
                <w:color w:val="000000"/>
                <w:sz w:val="20"/>
                <w:szCs w:val="20"/>
              </w:rPr>
              <w:t xml:space="preserve">Should</w:t>
            </w:r>
          </w:p>
        </w:tc>
      </w:tr>
      <w:tr>
        <w:tc>
          <w:tcPr>
            <w:tcW w:type="dxa" w:w="1100"/>
            <w:tcMar>
              <w:top w:type="dxa" w:w="80"/>
              <w:left w:type="dxa" w:w="100"/>
              <w:bottom w:type="dxa" w:w="80"/>
              <w:right w:type="dxa" w:w="100"/>
            </w:tcMar>
          </w:tcPr>
          <w:p>
            <w:r>
              <w:rPr>
                <w:b w:val="false"/>
                <w:bCs w:val="false"/>
                <w:color w:val="000000"/>
                <w:sz w:val="20"/>
                <w:szCs w:val="20"/>
              </w:rPr>
              <w:t xml:space="preserve">UR-04</w:t>
            </w:r>
          </w:p>
        </w:tc>
        <w:tc>
          <w:tcPr>
            <w:tcW w:type="dxa" w:w="6600"/>
            <w:tcMar>
              <w:top w:type="dxa" w:w="80"/>
              <w:left w:type="dxa" w:w="100"/>
              <w:bottom w:type="dxa" w:w="80"/>
              <w:right w:type="dxa" w:w="100"/>
            </w:tcMar>
          </w:tcPr>
          <w:p>
            <w:r>
              <w:rPr>
                <w:b w:val="false"/>
                <w:bCs w:val="false"/>
                <w:color w:val="000000"/>
                <w:sz w:val="20"/>
                <w:szCs w:val="20"/>
              </w:rPr>
              <w:t xml:space="preserve">As a user, I want to configure temperature, max tokens, and system prompt so results reflect my intended production settings.</w:t>
            </w:r>
          </w:p>
        </w:tc>
        <w:tc>
          <w:tcPr>
            <w:tcW w:type="dxa" w:w="1650"/>
            <w:tcMar>
              <w:top w:type="dxa" w:w="80"/>
              <w:left w:type="dxa" w:w="100"/>
              <w:bottom w:type="dxa" w:w="80"/>
              <w:right w:type="dxa" w:w="100"/>
            </w:tcMar>
          </w:tcPr>
          <w:p>
            <w:r>
              <w:rPr>
                <w:b w:val="false"/>
                <w:bCs w:val="false"/>
                <w:color w:val="000000"/>
                <w:sz w:val="20"/>
                <w:szCs w:val="20"/>
              </w:rPr>
              <w:t xml:space="preserve">Should</w:t>
            </w:r>
          </w:p>
        </w:tc>
      </w:tr>
    </w:tbl>
    <w:p>
      <w:pPr>
        <w:pStyle w:val="Heading2"/>
        <w:spacing w:after="150" w:before="300"/>
      </w:pPr>
      <w:r>
        <w:rPr>
          <w:b/>
          <w:bCs/>
          <w:color w:val="2E74B5"/>
        </w:rPr>
        <w:t xml:space="preserve">3.2 Comparative &amp; Industry-Positioning Requirements (Core Differentiator)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650"/>
      </w:tblGrid>
      <w:tr>
        <w:trPr>
          <w:tblHeader/>
        </w:trPr>
        <w:tc>
          <w:tcPr>
            <w:tcW w:type="dxa" w:w="1100"/>
            <w:shd w:fill="1F3864" w:val="clear"/>
            <w:tcMar>
              <w:top w:type="dxa" w:w="80"/>
              <w:left w:type="dxa" w:w="100"/>
              <w:bottom w:type="dxa" w:w="80"/>
              <w:right w:type="dxa" w:w="100"/>
            </w:tcMar>
          </w:tcPr>
          <w:p>
            <w:r>
              <w:rPr>
                <w:b/>
                <w:bCs/>
                <w:color w:val="FFFFFF"/>
                <w:sz w:val="20"/>
                <w:szCs w:val="20"/>
              </w:rPr>
              <w:t xml:space="preserve">ID</w:t>
            </w:r>
          </w:p>
        </w:tc>
        <w:tc>
          <w:tcPr>
            <w:tcW w:type="dxa" w:w="6600"/>
            <w:shd w:fill="1F3864" w:val="clear"/>
            <w:tcMar>
              <w:top w:type="dxa" w:w="80"/>
              <w:left w:type="dxa" w:w="100"/>
              <w:bottom w:type="dxa" w:w="80"/>
              <w:right w:type="dxa" w:w="100"/>
            </w:tcMar>
          </w:tcPr>
          <w:p>
            <w:r>
              <w:rPr>
                <w:b/>
                <w:bCs/>
                <w:color w:val="FFFFFF"/>
                <w:sz w:val="20"/>
                <w:szCs w:val="20"/>
              </w:rPr>
              <w:t xml:space="preserve">User Story</w:t>
            </w:r>
          </w:p>
        </w:tc>
        <w:tc>
          <w:tcPr>
            <w:tcW w:type="dxa" w:w="1650"/>
            <w:shd w:fill="1F3864" w:val="clear"/>
            <w:tcMar>
              <w:top w:type="dxa" w:w="80"/>
              <w:left w:type="dxa" w:w="100"/>
              <w:bottom w:type="dxa" w:w="80"/>
              <w:right w:type="dxa" w:w="100"/>
            </w:tcMar>
          </w:tcPr>
          <w:p>
            <w:r>
              <w:rPr>
                <w:b/>
                <w:bCs/>
                <w:color w:val="FFFFFF"/>
                <w:sz w:val="20"/>
                <w:szCs w:val="20"/>
              </w:rPr>
              <w:t xml:space="preserve">Priority</w:t>
            </w:r>
          </w:p>
        </w:tc>
      </w:tr>
      <w:tr>
        <w:tc>
          <w:tcPr>
            <w:tcW w:type="dxa" w:w="1100"/>
            <w:tcMar>
              <w:top w:type="dxa" w:w="80"/>
              <w:left w:type="dxa" w:w="100"/>
              <w:bottom w:type="dxa" w:w="80"/>
              <w:right w:type="dxa" w:w="100"/>
            </w:tcMar>
          </w:tcPr>
          <w:p>
            <w:r>
              <w:rPr>
                <w:b w:val="false"/>
                <w:bCs w:val="false"/>
                <w:color w:val="000000"/>
                <w:sz w:val="20"/>
                <w:szCs w:val="20"/>
              </w:rPr>
              <w:t xml:space="preserve">UR-05</w:t>
            </w:r>
          </w:p>
        </w:tc>
        <w:tc>
          <w:tcPr>
            <w:tcW w:type="dxa" w:w="6600"/>
            <w:tcMar>
              <w:top w:type="dxa" w:w="80"/>
              <w:left w:type="dxa" w:w="100"/>
              <w:bottom w:type="dxa" w:w="80"/>
              <w:right w:type="dxa" w:w="100"/>
            </w:tcMar>
          </w:tcPr>
          <w:p>
            <w:r>
              <w:rPr>
                <w:b w:val="false"/>
                <w:bCs w:val="false"/>
                <w:color w:val="000000"/>
                <w:sz w:val="20"/>
                <w:szCs w:val="20"/>
              </w:rPr>
              <w:t xml:space="preserve">As a user, I want each evaluated model automatically compared against a curated set of industry-standard baseline models so I know how it ranks, not just its raw score.</w:t>
            </w:r>
          </w:p>
        </w:tc>
        <w:tc>
          <w:tcPr>
            <w:tcW w:type="dxa" w:w="1650"/>
            <w:tcMar>
              <w:top w:type="dxa" w:w="80"/>
              <w:left w:type="dxa" w:w="100"/>
              <w:bottom w:type="dxa" w:w="80"/>
              <w:right w:type="dxa" w:w="100"/>
            </w:tcMar>
          </w:tcPr>
          <w:p>
            <w:r>
              <w:rPr>
                <w:b w:val="false"/>
                <w:bCs w:val="false"/>
                <w:color w:val="000000"/>
                <w:sz w:val="20"/>
                <w:szCs w:val="20"/>
              </w:rPr>
              <w:t xml:space="preserve">Must</w:t>
            </w:r>
          </w:p>
        </w:tc>
      </w:tr>
      <w:tr>
        <w:tc>
          <w:tcPr>
            <w:tcW w:type="dxa" w:w="1100"/>
            <w:tcMar>
              <w:top w:type="dxa" w:w="80"/>
              <w:left w:type="dxa" w:w="100"/>
              <w:bottom w:type="dxa" w:w="80"/>
              <w:right w:type="dxa" w:w="100"/>
            </w:tcMar>
          </w:tcPr>
          <w:p>
            <w:r>
              <w:rPr>
                <w:b w:val="false"/>
                <w:bCs w:val="false"/>
                <w:color w:val="000000"/>
                <w:sz w:val="20"/>
                <w:szCs w:val="20"/>
              </w:rPr>
              <w:t xml:space="preserve">UR-06</w:t>
            </w:r>
          </w:p>
        </w:tc>
        <w:tc>
          <w:tcPr>
            <w:tcW w:type="dxa" w:w="6600"/>
            <w:tcMar>
              <w:top w:type="dxa" w:w="80"/>
              <w:left w:type="dxa" w:w="100"/>
              <w:bottom w:type="dxa" w:w="80"/>
              <w:right w:type="dxa" w:w="100"/>
            </w:tcMar>
          </w:tcPr>
          <w:p>
            <w:r>
              <w:rPr>
                <w:b w:val="false"/>
                <w:bCs w:val="false"/>
                <w:color w:val="000000"/>
                <w:sz w:val="20"/>
                <w:szCs w:val="20"/>
              </w:rPr>
              <w:t xml:space="preserve">As a user, I want a capability radar/profile per model, showing relative strength across categories such as coding, mathematics, reasoning, creative writing, summarization, factual grounding, and long/out-of-context reasoning.</w:t>
            </w:r>
          </w:p>
        </w:tc>
        <w:tc>
          <w:tcPr>
            <w:tcW w:type="dxa" w:w="1650"/>
            <w:tcMar>
              <w:top w:type="dxa" w:w="80"/>
              <w:left w:type="dxa" w:w="100"/>
              <w:bottom w:type="dxa" w:w="80"/>
              <w:right w:type="dxa" w:w="100"/>
            </w:tcMar>
          </w:tcPr>
          <w:p>
            <w:r>
              <w:rPr>
                <w:b w:val="false"/>
                <w:bCs w:val="false"/>
                <w:color w:val="000000"/>
                <w:sz w:val="20"/>
                <w:szCs w:val="20"/>
              </w:rPr>
              <w:t xml:space="preserve">Must</w:t>
            </w:r>
          </w:p>
        </w:tc>
      </w:tr>
      <w:tr>
        <w:tc>
          <w:tcPr>
            <w:tcW w:type="dxa" w:w="1100"/>
            <w:tcMar>
              <w:top w:type="dxa" w:w="80"/>
              <w:left w:type="dxa" w:w="100"/>
              <w:bottom w:type="dxa" w:w="80"/>
              <w:right w:type="dxa" w:w="100"/>
            </w:tcMar>
          </w:tcPr>
          <w:p>
            <w:r>
              <w:rPr>
                <w:b w:val="false"/>
                <w:bCs w:val="false"/>
                <w:color w:val="000000"/>
                <w:sz w:val="20"/>
                <w:szCs w:val="20"/>
              </w:rPr>
              <w:t xml:space="preserve">UR-07</w:t>
            </w:r>
          </w:p>
        </w:tc>
        <w:tc>
          <w:tcPr>
            <w:tcW w:type="dxa" w:w="6600"/>
            <w:tcMar>
              <w:top w:type="dxa" w:w="80"/>
              <w:left w:type="dxa" w:w="100"/>
              <w:bottom w:type="dxa" w:w="80"/>
              <w:right w:type="dxa" w:w="100"/>
            </w:tcMar>
          </w:tcPr>
          <w:p>
            <w:r>
              <w:rPr>
                <w:b w:val="false"/>
                <w:bCs w:val="false"/>
                <w:color w:val="000000"/>
                <w:sz w:val="20"/>
                <w:szCs w:val="20"/>
              </w:rPr>
              <w:t xml:space="preserve">As a user, I want plain-language "positioning statements" (e.g., "comparable to GPT-4-class on coding, below Claude-class on long-context reasoning") generated automatically.</w:t>
            </w:r>
          </w:p>
        </w:tc>
        <w:tc>
          <w:tcPr>
            <w:tcW w:type="dxa" w:w="1650"/>
            <w:tcMar>
              <w:top w:type="dxa" w:w="80"/>
              <w:left w:type="dxa" w:w="100"/>
              <w:bottom w:type="dxa" w:w="80"/>
              <w:right w:type="dxa" w:w="100"/>
            </w:tcMar>
          </w:tcPr>
          <w:p>
            <w:r>
              <w:rPr>
                <w:b w:val="false"/>
                <w:bCs w:val="false"/>
                <w:color w:val="000000"/>
                <w:sz w:val="20"/>
                <w:szCs w:val="20"/>
              </w:rPr>
              <w:t xml:space="preserve">Should</w:t>
            </w:r>
          </w:p>
        </w:tc>
      </w:tr>
      <w:tr>
        <w:tc>
          <w:tcPr>
            <w:tcW w:type="dxa" w:w="1100"/>
            <w:tcMar>
              <w:top w:type="dxa" w:w="80"/>
              <w:left w:type="dxa" w:w="100"/>
              <w:bottom w:type="dxa" w:w="80"/>
              <w:right w:type="dxa" w:w="100"/>
            </w:tcMar>
          </w:tcPr>
          <w:p>
            <w:r>
              <w:rPr>
                <w:b w:val="false"/>
                <w:bCs w:val="false"/>
                <w:color w:val="000000"/>
                <w:sz w:val="20"/>
                <w:szCs w:val="20"/>
              </w:rPr>
              <w:t xml:space="preserve">UR-08</w:t>
            </w:r>
          </w:p>
        </w:tc>
        <w:tc>
          <w:tcPr>
            <w:tcW w:type="dxa" w:w="6600"/>
            <w:tcMar>
              <w:top w:type="dxa" w:w="80"/>
              <w:left w:type="dxa" w:w="100"/>
              <w:bottom w:type="dxa" w:w="80"/>
              <w:right w:type="dxa" w:w="100"/>
            </w:tcMar>
          </w:tcPr>
          <w:p>
            <w:r>
              <w:rPr>
                <w:b w:val="false"/>
                <w:bCs w:val="false"/>
                <w:color w:val="000000"/>
                <w:sz w:val="20"/>
                <w:szCs w:val="20"/>
              </w:rPr>
              <w:t xml:space="preserve">As a user, I want to see the percentile or tier (e.g., Frontier / Strong / Mid / Weak) of a model per category rather than only a numeric score.</w:t>
            </w:r>
          </w:p>
        </w:tc>
        <w:tc>
          <w:tcPr>
            <w:tcW w:type="dxa" w:w="1650"/>
            <w:tcMar>
              <w:top w:type="dxa" w:w="80"/>
              <w:left w:type="dxa" w:w="100"/>
              <w:bottom w:type="dxa" w:w="80"/>
              <w:right w:type="dxa" w:w="100"/>
            </w:tcMar>
          </w:tcPr>
          <w:p>
            <w:r>
              <w:rPr>
                <w:b w:val="false"/>
                <w:bCs w:val="false"/>
                <w:color w:val="000000"/>
                <w:sz w:val="20"/>
                <w:szCs w:val="20"/>
              </w:rPr>
              <w:t xml:space="preserve">Should</w:t>
            </w:r>
          </w:p>
        </w:tc>
      </w:tr>
      <w:tr>
        <w:tc>
          <w:tcPr>
            <w:tcW w:type="dxa" w:w="1100"/>
            <w:tcMar>
              <w:top w:type="dxa" w:w="80"/>
              <w:left w:type="dxa" w:w="100"/>
              <w:bottom w:type="dxa" w:w="80"/>
              <w:right w:type="dxa" w:w="100"/>
            </w:tcMar>
          </w:tcPr>
          <w:p>
            <w:r>
              <w:rPr>
                <w:b w:val="false"/>
                <w:bCs w:val="false"/>
                <w:color w:val="000000"/>
                <w:sz w:val="20"/>
                <w:szCs w:val="20"/>
              </w:rPr>
              <w:t xml:space="preserve">UR-09</w:t>
            </w:r>
          </w:p>
        </w:tc>
        <w:tc>
          <w:tcPr>
            <w:tcW w:type="dxa" w:w="6600"/>
            <w:tcMar>
              <w:top w:type="dxa" w:w="80"/>
              <w:left w:type="dxa" w:w="100"/>
              <w:bottom w:type="dxa" w:w="80"/>
              <w:right w:type="dxa" w:w="100"/>
            </w:tcMar>
          </w:tcPr>
          <w:p>
            <w:r>
              <w:rPr>
                <w:b w:val="false"/>
                <w:bCs w:val="false"/>
                <w:color w:val="000000"/>
                <w:sz w:val="20"/>
                <w:szCs w:val="20"/>
              </w:rPr>
              <w:t xml:space="preserve">As a user, I want historical tracking so I can see if a model's relative standing improves after a provider update.</w:t>
            </w:r>
          </w:p>
        </w:tc>
        <w:tc>
          <w:tcPr>
            <w:tcW w:type="dxa" w:w="1650"/>
            <w:tcMar>
              <w:top w:type="dxa" w:w="80"/>
              <w:left w:type="dxa" w:w="100"/>
              <w:bottom w:type="dxa" w:w="80"/>
              <w:right w:type="dxa" w:w="100"/>
            </w:tcMar>
          </w:tcPr>
          <w:p>
            <w:r>
              <w:rPr>
                <w:b w:val="false"/>
                <w:bCs w:val="false"/>
                <w:color w:val="000000"/>
                <w:sz w:val="20"/>
                <w:szCs w:val="20"/>
              </w:rPr>
              <w:t xml:space="preserve">Could</w:t>
            </w:r>
          </w:p>
        </w:tc>
      </w:tr>
    </w:tbl>
    <w:p>
      <w:pPr>
        <w:pStyle w:val="Heading2"/>
        <w:spacing w:after="150" w:before="300"/>
      </w:pPr>
      <w:r>
        <w:rPr>
          <w:b/>
          <w:bCs/>
          <w:color w:val="2E74B5"/>
        </w:rPr>
        <w:t xml:space="preserve">3.3 Reliability &amp; Hallucination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650"/>
      </w:tblGrid>
      <w:tr>
        <w:trPr>
          <w:tblHeader/>
        </w:trPr>
        <w:tc>
          <w:tcPr>
            <w:tcW w:type="dxa" w:w="1100"/>
            <w:shd w:fill="1F3864" w:val="clear"/>
            <w:tcMar>
              <w:top w:type="dxa" w:w="80"/>
              <w:left w:type="dxa" w:w="100"/>
              <w:bottom w:type="dxa" w:w="80"/>
              <w:right w:type="dxa" w:w="100"/>
            </w:tcMar>
          </w:tcPr>
          <w:p>
            <w:r>
              <w:rPr>
                <w:b/>
                <w:bCs/>
                <w:color w:val="FFFFFF"/>
                <w:sz w:val="20"/>
                <w:szCs w:val="20"/>
              </w:rPr>
              <w:t xml:space="preserve">ID</w:t>
            </w:r>
          </w:p>
        </w:tc>
        <w:tc>
          <w:tcPr>
            <w:tcW w:type="dxa" w:w="6600"/>
            <w:shd w:fill="1F3864" w:val="clear"/>
            <w:tcMar>
              <w:top w:type="dxa" w:w="80"/>
              <w:left w:type="dxa" w:w="100"/>
              <w:bottom w:type="dxa" w:w="80"/>
              <w:right w:type="dxa" w:w="100"/>
            </w:tcMar>
          </w:tcPr>
          <w:p>
            <w:r>
              <w:rPr>
                <w:b/>
                <w:bCs/>
                <w:color w:val="FFFFFF"/>
                <w:sz w:val="20"/>
                <w:szCs w:val="20"/>
              </w:rPr>
              <w:t xml:space="preserve">User Story</w:t>
            </w:r>
          </w:p>
        </w:tc>
        <w:tc>
          <w:tcPr>
            <w:tcW w:type="dxa" w:w="1650"/>
            <w:shd w:fill="1F3864" w:val="clear"/>
            <w:tcMar>
              <w:top w:type="dxa" w:w="80"/>
              <w:left w:type="dxa" w:w="100"/>
              <w:bottom w:type="dxa" w:w="80"/>
              <w:right w:type="dxa" w:w="100"/>
            </w:tcMar>
          </w:tcPr>
          <w:p>
            <w:r>
              <w:rPr>
                <w:b/>
                <w:bCs/>
                <w:color w:val="FFFFFF"/>
                <w:sz w:val="20"/>
                <w:szCs w:val="20"/>
              </w:rPr>
              <w:t xml:space="preserve">Priority</w:t>
            </w:r>
          </w:p>
        </w:tc>
      </w:tr>
      <w:tr>
        <w:tc>
          <w:tcPr>
            <w:tcW w:type="dxa" w:w="1100"/>
            <w:tcMar>
              <w:top w:type="dxa" w:w="80"/>
              <w:left w:type="dxa" w:w="100"/>
              <w:bottom w:type="dxa" w:w="80"/>
              <w:right w:type="dxa" w:w="100"/>
            </w:tcMar>
          </w:tcPr>
          <w:p>
            <w:r>
              <w:rPr>
                <w:b w:val="false"/>
                <w:bCs w:val="false"/>
                <w:color w:val="000000"/>
                <w:sz w:val="20"/>
                <w:szCs w:val="20"/>
              </w:rPr>
              <w:t xml:space="preserve">UR-10</w:t>
            </w:r>
          </w:p>
        </w:tc>
        <w:tc>
          <w:tcPr>
            <w:tcW w:type="dxa" w:w="6600"/>
            <w:tcMar>
              <w:top w:type="dxa" w:w="80"/>
              <w:left w:type="dxa" w:w="100"/>
              <w:bottom w:type="dxa" w:w="80"/>
              <w:right w:type="dxa" w:w="100"/>
            </w:tcMar>
          </w:tcPr>
          <w:p>
            <w:r>
              <w:rPr>
                <w:b w:val="false"/>
                <w:bCs w:val="false"/>
                <w:color w:val="000000"/>
                <w:sz w:val="20"/>
                <w:szCs w:val="20"/>
              </w:rPr>
              <w:t xml:space="preserve">As a user, I want a hallucination rate and claim-level hallucination breakdown per model so I can judge trustworthiness, not just fluency.</w:t>
            </w:r>
          </w:p>
        </w:tc>
        <w:tc>
          <w:tcPr>
            <w:tcW w:type="dxa" w:w="1650"/>
            <w:tcMar>
              <w:top w:type="dxa" w:w="80"/>
              <w:left w:type="dxa" w:w="100"/>
              <w:bottom w:type="dxa" w:w="80"/>
              <w:right w:type="dxa" w:w="100"/>
            </w:tcMar>
          </w:tcPr>
          <w:p>
            <w:r>
              <w:rPr>
                <w:b w:val="false"/>
                <w:bCs w:val="false"/>
                <w:color w:val="000000"/>
                <w:sz w:val="20"/>
                <w:szCs w:val="20"/>
              </w:rPr>
              <w:t xml:space="preserve">Must</w:t>
            </w:r>
          </w:p>
        </w:tc>
      </w:tr>
      <w:tr>
        <w:tc>
          <w:tcPr>
            <w:tcW w:type="dxa" w:w="1100"/>
            <w:tcMar>
              <w:top w:type="dxa" w:w="80"/>
              <w:left w:type="dxa" w:w="100"/>
              <w:bottom w:type="dxa" w:w="80"/>
              <w:right w:type="dxa" w:w="100"/>
            </w:tcMar>
          </w:tcPr>
          <w:p>
            <w:r>
              <w:rPr>
                <w:b w:val="false"/>
                <w:bCs w:val="false"/>
                <w:color w:val="000000"/>
                <w:sz w:val="20"/>
                <w:szCs w:val="20"/>
              </w:rPr>
              <w:t xml:space="preserve">UR-11</w:t>
            </w:r>
          </w:p>
        </w:tc>
        <w:tc>
          <w:tcPr>
            <w:tcW w:type="dxa" w:w="6600"/>
            <w:tcMar>
              <w:top w:type="dxa" w:w="80"/>
              <w:left w:type="dxa" w:w="100"/>
              <w:bottom w:type="dxa" w:w="80"/>
              <w:right w:type="dxa" w:w="100"/>
            </w:tcMar>
          </w:tcPr>
          <w:p>
            <w:r>
              <w:rPr>
                <w:b w:val="false"/>
                <w:bCs w:val="false"/>
                <w:color w:val="000000"/>
                <w:sz w:val="20"/>
                <w:szCs w:val="20"/>
              </w:rPr>
              <w:t xml:space="preserve">As a user, I want to inspect the specific claims flagged as unsupported/incorrect, with evidence, so I can verify the evaluator's judgment.</w:t>
            </w:r>
          </w:p>
        </w:tc>
        <w:tc>
          <w:tcPr>
            <w:tcW w:type="dxa" w:w="1650"/>
            <w:tcMar>
              <w:top w:type="dxa" w:w="80"/>
              <w:left w:type="dxa" w:w="100"/>
              <w:bottom w:type="dxa" w:w="80"/>
              <w:right w:type="dxa" w:w="100"/>
            </w:tcMar>
          </w:tcPr>
          <w:p>
            <w:r>
              <w:rPr>
                <w:b w:val="false"/>
                <w:bCs w:val="false"/>
                <w:color w:val="000000"/>
                <w:sz w:val="20"/>
                <w:szCs w:val="20"/>
              </w:rPr>
              <w:t xml:space="preserve">Should</w:t>
            </w:r>
          </w:p>
        </w:tc>
      </w:tr>
    </w:tbl>
    <w:p>
      <w:pPr>
        <w:pStyle w:val="Heading2"/>
        <w:spacing w:after="150" w:before="300"/>
      </w:pPr>
      <w:r>
        <w:rPr>
          <w:b/>
          <w:bCs/>
          <w:color w:val="2E74B5"/>
        </w:rPr>
        <w:t xml:space="preserve">3.4 Efficiency, Cost &amp; Reporting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6600"/>
        <w:gridCol w:w="1650"/>
      </w:tblGrid>
      <w:tr>
        <w:trPr>
          <w:tblHeader/>
        </w:trPr>
        <w:tc>
          <w:tcPr>
            <w:tcW w:type="dxa" w:w="1100"/>
            <w:shd w:fill="1F3864" w:val="clear"/>
            <w:tcMar>
              <w:top w:type="dxa" w:w="80"/>
              <w:left w:type="dxa" w:w="100"/>
              <w:bottom w:type="dxa" w:w="80"/>
              <w:right w:type="dxa" w:w="100"/>
            </w:tcMar>
          </w:tcPr>
          <w:p>
            <w:r>
              <w:rPr>
                <w:b/>
                <w:bCs/>
                <w:color w:val="FFFFFF"/>
                <w:sz w:val="20"/>
                <w:szCs w:val="20"/>
              </w:rPr>
              <w:t xml:space="preserve">ID</w:t>
            </w:r>
          </w:p>
        </w:tc>
        <w:tc>
          <w:tcPr>
            <w:tcW w:type="dxa" w:w="6600"/>
            <w:shd w:fill="1F3864" w:val="clear"/>
            <w:tcMar>
              <w:top w:type="dxa" w:w="80"/>
              <w:left w:type="dxa" w:w="100"/>
              <w:bottom w:type="dxa" w:w="80"/>
              <w:right w:type="dxa" w:w="100"/>
            </w:tcMar>
          </w:tcPr>
          <w:p>
            <w:r>
              <w:rPr>
                <w:b/>
                <w:bCs/>
                <w:color w:val="FFFFFF"/>
                <w:sz w:val="20"/>
                <w:szCs w:val="20"/>
              </w:rPr>
              <w:t xml:space="preserve">User Story</w:t>
            </w:r>
          </w:p>
        </w:tc>
        <w:tc>
          <w:tcPr>
            <w:tcW w:type="dxa" w:w="1650"/>
            <w:shd w:fill="1F3864" w:val="clear"/>
            <w:tcMar>
              <w:top w:type="dxa" w:w="80"/>
              <w:left w:type="dxa" w:w="100"/>
              <w:bottom w:type="dxa" w:w="80"/>
              <w:right w:type="dxa" w:w="100"/>
            </w:tcMar>
          </w:tcPr>
          <w:p>
            <w:r>
              <w:rPr>
                <w:b/>
                <w:bCs/>
                <w:color w:val="FFFFFF"/>
                <w:sz w:val="20"/>
                <w:szCs w:val="20"/>
              </w:rPr>
              <w:t xml:space="preserve">Priority</w:t>
            </w:r>
          </w:p>
        </w:tc>
      </w:tr>
      <w:tr>
        <w:tc>
          <w:tcPr>
            <w:tcW w:type="dxa" w:w="1100"/>
            <w:tcMar>
              <w:top w:type="dxa" w:w="80"/>
              <w:left w:type="dxa" w:w="100"/>
              <w:bottom w:type="dxa" w:w="80"/>
              <w:right w:type="dxa" w:w="100"/>
            </w:tcMar>
          </w:tcPr>
          <w:p>
            <w:r>
              <w:rPr>
                <w:b w:val="false"/>
                <w:bCs w:val="false"/>
                <w:color w:val="000000"/>
                <w:sz w:val="20"/>
                <w:szCs w:val="20"/>
              </w:rPr>
              <w:t xml:space="preserve">UR-12</w:t>
            </w:r>
          </w:p>
        </w:tc>
        <w:tc>
          <w:tcPr>
            <w:tcW w:type="dxa" w:w="6600"/>
            <w:tcMar>
              <w:top w:type="dxa" w:w="80"/>
              <w:left w:type="dxa" w:w="100"/>
              <w:bottom w:type="dxa" w:w="80"/>
              <w:right w:type="dxa" w:w="100"/>
            </w:tcMar>
          </w:tcPr>
          <w:p>
            <w:r>
              <w:rPr>
                <w:b w:val="false"/>
                <w:bCs w:val="false"/>
                <w:color w:val="000000"/>
                <w:sz w:val="20"/>
                <w:szCs w:val="20"/>
              </w:rPr>
              <w:t xml:space="preserve">As a user, I want latency, token usage, and estimated cost tracked per request so I can weigh quality against operating cost.</w:t>
            </w:r>
          </w:p>
        </w:tc>
        <w:tc>
          <w:tcPr>
            <w:tcW w:type="dxa" w:w="1650"/>
            <w:tcMar>
              <w:top w:type="dxa" w:w="80"/>
              <w:left w:type="dxa" w:w="100"/>
              <w:bottom w:type="dxa" w:w="80"/>
              <w:right w:type="dxa" w:w="100"/>
            </w:tcMar>
          </w:tcPr>
          <w:p>
            <w:r>
              <w:rPr>
                <w:b w:val="false"/>
                <w:bCs w:val="false"/>
                <w:color w:val="000000"/>
                <w:sz w:val="20"/>
                <w:szCs w:val="20"/>
              </w:rPr>
              <w:t xml:space="preserve">Must</w:t>
            </w:r>
          </w:p>
        </w:tc>
      </w:tr>
      <w:tr>
        <w:tc>
          <w:tcPr>
            <w:tcW w:type="dxa" w:w="1100"/>
            <w:tcMar>
              <w:top w:type="dxa" w:w="80"/>
              <w:left w:type="dxa" w:w="100"/>
              <w:bottom w:type="dxa" w:w="80"/>
              <w:right w:type="dxa" w:w="100"/>
            </w:tcMar>
          </w:tcPr>
          <w:p>
            <w:r>
              <w:rPr>
                <w:b w:val="false"/>
                <w:bCs w:val="false"/>
                <w:color w:val="000000"/>
                <w:sz w:val="20"/>
                <w:szCs w:val="20"/>
              </w:rPr>
              <w:t xml:space="preserve">UR-13</w:t>
            </w:r>
          </w:p>
        </w:tc>
        <w:tc>
          <w:tcPr>
            <w:tcW w:type="dxa" w:w="6600"/>
            <w:tcMar>
              <w:top w:type="dxa" w:w="80"/>
              <w:left w:type="dxa" w:w="100"/>
              <w:bottom w:type="dxa" w:w="80"/>
              <w:right w:type="dxa" w:w="100"/>
            </w:tcMar>
          </w:tcPr>
          <w:p>
            <w:r>
              <w:rPr>
                <w:b w:val="false"/>
                <w:bCs w:val="false"/>
                <w:color w:val="000000"/>
                <w:sz w:val="20"/>
                <w:szCs w:val="20"/>
              </w:rPr>
              <w:t xml:space="preserve">As a user, I want a consolidated benchmark report with charts and tables I can export (PDF/CSV) so I can share results.</w:t>
            </w:r>
          </w:p>
        </w:tc>
        <w:tc>
          <w:tcPr>
            <w:tcW w:type="dxa" w:w="1650"/>
            <w:tcMar>
              <w:top w:type="dxa" w:w="80"/>
              <w:left w:type="dxa" w:w="100"/>
              <w:bottom w:type="dxa" w:w="80"/>
              <w:right w:type="dxa" w:w="100"/>
            </w:tcMar>
          </w:tcPr>
          <w:p>
            <w:r>
              <w:rPr>
                <w:b w:val="false"/>
                <w:bCs w:val="false"/>
                <w:color w:val="000000"/>
                <w:sz w:val="20"/>
                <w:szCs w:val="20"/>
              </w:rPr>
              <w:t xml:space="preserve">Must</w:t>
            </w:r>
          </w:p>
        </w:tc>
      </w:tr>
      <w:tr>
        <w:tc>
          <w:tcPr>
            <w:tcW w:type="dxa" w:w="1100"/>
            <w:tcMar>
              <w:top w:type="dxa" w:w="80"/>
              <w:left w:type="dxa" w:w="100"/>
              <w:bottom w:type="dxa" w:w="80"/>
              <w:right w:type="dxa" w:w="100"/>
            </w:tcMar>
          </w:tcPr>
          <w:p>
            <w:r>
              <w:rPr>
                <w:b w:val="false"/>
                <w:bCs w:val="false"/>
                <w:color w:val="000000"/>
                <w:sz w:val="20"/>
                <w:szCs w:val="20"/>
              </w:rPr>
              <w:t xml:space="preserve">UR-14</w:t>
            </w:r>
          </w:p>
        </w:tc>
        <w:tc>
          <w:tcPr>
            <w:tcW w:type="dxa" w:w="6600"/>
            <w:tcMar>
              <w:top w:type="dxa" w:w="80"/>
              <w:left w:type="dxa" w:w="100"/>
              <w:bottom w:type="dxa" w:w="80"/>
              <w:right w:type="dxa" w:w="100"/>
            </w:tcMar>
          </w:tcPr>
          <w:p>
            <w:r>
              <w:rPr>
                <w:b w:val="false"/>
                <w:bCs w:val="false"/>
                <w:color w:val="000000"/>
                <w:sz w:val="20"/>
                <w:szCs w:val="20"/>
              </w:rPr>
              <w:t xml:space="preserve">As a user, I want to see a "cost-vs-performance" plot so I can identify the best value model for my budget.</w:t>
            </w:r>
          </w:p>
        </w:tc>
        <w:tc>
          <w:tcPr>
            <w:tcW w:type="dxa" w:w="1650"/>
            <w:tcMar>
              <w:top w:type="dxa" w:w="80"/>
              <w:left w:type="dxa" w:w="100"/>
              <w:bottom w:type="dxa" w:w="80"/>
              <w:right w:type="dxa" w:w="100"/>
            </w:tcMar>
          </w:tcPr>
          <w:p>
            <w:r>
              <w:rPr>
                <w:b w:val="false"/>
                <w:bCs w:val="false"/>
                <w:color w:val="000000"/>
                <w:sz w:val="20"/>
                <w:szCs w:val="20"/>
              </w:rPr>
              <w:t xml:space="preserve">Should</w:t>
            </w:r>
          </w:p>
        </w:tc>
      </w:tr>
      <w:tr>
        <w:tc>
          <w:tcPr>
            <w:tcW w:type="dxa" w:w="1100"/>
            <w:tcMar>
              <w:top w:type="dxa" w:w="80"/>
              <w:left w:type="dxa" w:w="100"/>
              <w:bottom w:type="dxa" w:w="80"/>
              <w:right w:type="dxa" w:w="100"/>
            </w:tcMar>
          </w:tcPr>
          <w:p>
            <w:r>
              <w:rPr>
                <w:b w:val="false"/>
                <w:bCs w:val="false"/>
                <w:color w:val="000000"/>
                <w:sz w:val="20"/>
                <w:szCs w:val="20"/>
              </w:rPr>
              <w:t xml:space="preserve">UR-15</w:t>
            </w:r>
          </w:p>
        </w:tc>
        <w:tc>
          <w:tcPr>
            <w:tcW w:type="dxa" w:w="6600"/>
            <w:tcMar>
              <w:top w:type="dxa" w:w="80"/>
              <w:left w:type="dxa" w:w="100"/>
              <w:bottom w:type="dxa" w:w="80"/>
              <w:right w:type="dxa" w:w="100"/>
            </w:tcMar>
          </w:tcPr>
          <w:p>
            <w:r>
              <w:rPr>
                <w:b w:val="false"/>
                <w:bCs w:val="false"/>
                <w:color w:val="000000"/>
                <w:sz w:val="20"/>
                <w:szCs w:val="20"/>
              </w:rPr>
              <w:t xml:space="preserve">As a user, I want benchmark configuration stored so that results are reproducible.</w:t>
            </w:r>
          </w:p>
        </w:tc>
        <w:tc>
          <w:tcPr>
            <w:tcW w:type="dxa" w:w="1650"/>
            <w:tcMar>
              <w:top w:type="dxa" w:w="80"/>
              <w:left w:type="dxa" w:w="100"/>
              <w:bottom w:type="dxa" w:w="80"/>
              <w:right w:type="dxa" w:w="100"/>
            </w:tcMar>
          </w:tcPr>
          <w:p>
            <w:r>
              <w:rPr>
                <w:b w:val="false"/>
                <w:bCs w:val="false"/>
                <w:color w:val="000000"/>
                <w:sz w:val="20"/>
                <w:szCs w:val="20"/>
              </w:rPr>
              <w:t xml:space="preserve">Must</w:t>
            </w:r>
          </w:p>
        </w:tc>
      </w:tr>
      <w:tr>
        <w:tc>
          <w:tcPr>
            <w:tcW w:type="dxa" w:w="1100"/>
            <w:tcMar>
              <w:top w:type="dxa" w:w="80"/>
              <w:left w:type="dxa" w:w="100"/>
              <w:bottom w:type="dxa" w:w="80"/>
              <w:right w:type="dxa" w:w="100"/>
            </w:tcMar>
          </w:tcPr>
          <w:p>
            <w:r>
              <w:rPr>
                <w:b w:val="false"/>
                <w:bCs w:val="false"/>
                <w:color w:val="000000"/>
                <w:sz w:val="20"/>
                <w:szCs w:val="20"/>
              </w:rPr>
              <w:t xml:space="preserve">UR-16</w:t>
            </w:r>
          </w:p>
        </w:tc>
        <w:tc>
          <w:tcPr>
            <w:tcW w:type="dxa" w:w="6600"/>
            <w:tcMar>
              <w:top w:type="dxa" w:w="80"/>
              <w:left w:type="dxa" w:w="100"/>
              <w:bottom w:type="dxa" w:w="80"/>
              <w:right w:type="dxa" w:w="100"/>
            </w:tcMar>
          </w:tcPr>
          <w:p>
            <w:r>
              <w:rPr>
                <w:b w:val="false"/>
                <w:bCs w:val="false"/>
                <w:color w:val="000000"/>
                <w:sz w:val="20"/>
                <w:szCs w:val="20"/>
              </w:rPr>
              <w:t xml:space="preserve">As a user, I want a failed model call to not stop the whole benchmark run.</w:t>
            </w:r>
          </w:p>
        </w:tc>
        <w:tc>
          <w:tcPr>
            <w:tcW w:type="dxa" w:w="1650"/>
            <w:tcMar>
              <w:top w:type="dxa" w:w="80"/>
              <w:left w:type="dxa" w:w="100"/>
              <w:bottom w:type="dxa" w:w="80"/>
              <w:right w:type="dxa" w:w="100"/>
            </w:tcMar>
          </w:tcPr>
          <w:p>
            <w:r>
              <w:rPr>
                <w:b w:val="false"/>
                <w:bCs w:val="false"/>
                <w:color w:val="000000"/>
                <w:sz w:val="20"/>
                <w:szCs w:val="20"/>
              </w:rPr>
              <w:t xml:space="preserve">Must</w:t>
            </w:r>
          </w:p>
        </w:tc>
      </w:tr>
    </w:tbl>
    <w:p>
      <w:pPr>
        <w:pStyle w:val="Heading1"/>
        <w:spacing w:after="200" w:before="400"/>
      </w:pPr>
      <w:r>
        <w:rPr>
          <w:b/>
          <w:bCs/>
          <w:color w:val="1F3864"/>
        </w:rPr>
        <w:t xml:space="preserve">4. Non-Functional User Expectations</w:t>
      </w:r>
    </w:p>
    <w:p>
      <w:pPr>
        <w:pStyle w:val="ListParagraph"/>
        <w:numPr>
          <w:ilvl w:val="0"/>
          <w:numId w:val="2"/>
        </w:numPr>
        <w:spacing w:after="80"/>
      </w:pPr>
      <w:r>
        <w:rPr>
          <w:sz w:val="22"/>
          <w:szCs w:val="22"/>
        </w:rPr>
        <w:t xml:space="preserve">Usability: a non-expert should be able to configure and launch a benchmark within a few minutes.</w:t>
      </w:r>
    </w:p>
    <w:p>
      <w:pPr>
        <w:pStyle w:val="ListParagraph"/>
        <w:numPr>
          <w:ilvl w:val="0"/>
          <w:numId w:val="2"/>
        </w:numPr>
        <w:spacing w:after="80"/>
      </w:pPr>
      <w:r>
        <w:rPr>
          <w:sz w:val="22"/>
          <w:szCs w:val="22"/>
        </w:rPr>
        <w:t xml:space="preserve">Transparency: every score must be traceable to the underlying raw response and evaluation method used.</w:t>
      </w:r>
    </w:p>
    <w:p>
      <w:pPr>
        <w:pStyle w:val="ListParagraph"/>
        <w:numPr>
          <w:ilvl w:val="0"/>
          <w:numId w:val="2"/>
        </w:numPr>
        <w:spacing w:after="80"/>
      </w:pPr>
      <w:r>
        <w:rPr>
          <w:sz w:val="22"/>
          <w:szCs w:val="22"/>
        </w:rPr>
        <w:t xml:space="preserve">Affordability: the platform itself must run on free-tier infrastructure (hosting, database, inference where possible).</w:t>
      </w:r>
    </w:p>
    <w:p>
      <w:pPr>
        <w:pStyle w:val="ListParagraph"/>
        <w:numPr>
          <w:ilvl w:val="0"/>
          <w:numId w:val="2"/>
        </w:numPr>
        <w:spacing w:after="80"/>
      </w:pPr>
      <w:r>
        <w:rPr>
          <w:sz w:val="22"/>
          <w:szCs w:val="22"/>
        </w:rPr>
        <w:t xml:space="preserve">Trustworthiness of comparison: baseline/reference model results must be clearly labeled with the version and date they were captured, since "industry standard" is a moving target.</w:t>
      </w:r>
    </w:p>
    <w:p>
      <w:pPr>
        <w:pStyle w:val="Heading1"/>
        <w:spacing w:after="200" w:before="400"/>
      </w:pPr>
      <w:r>
        <w:rPr>
          <w:b/>
          <w:bCs/>
          <w:color w:val="1F3864"/>
        </w:rPr>
        <w:t xml:space="preserve">5. Acceptance Criteria Summary</w:t>
      </w:r>
    </w:p>
    <w:p>
      <w:pPr>
        <w:spacing w:after="160"/>
        <w:jc w:val="both"/>
      </w:pPr>
      <w:r>
        <w:rPr>
          <w:sz w:val="22"/>
          <w:szCs w:val="22"/>
        </w:rPr>
        <w:t xml:space="preserve">The URS is considered satisfied when a user can: (a) select two or more models and a benchmark dataset, (b) execute a run, (c) view per-model quality, reliability/hallucination, capability, efficiency, and cost metrics, (d) see each model positioned against at least one industry-standard baseline with a capability strengths/weaknesses breakdown, and (e) export the results as a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URS — LLM Evaluation &amp; Benchmarking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2026-09-06T18:13:16.886Z</dcterms:created>
  <dcterms:modified xsi:type="dcterms:W3CDTF">2026-09-06T18:13:16.886Z</dcterms:modified>
</cp:coreProperties>
</file>

<file path=docProps/custom.xml><?xml version="1.0" encoding="utf-8"?>
<Properties xmlns="http://schemas.openxmlformats.org/officeDocument/2006/custom-properties" xmlns:vt="http://schemas.openxmlformats.org/officeDocument/2006/docPropsVTypes"/>
</file>