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74B5"/>
          <w:sz w:val="24"/>
          <w:szCs w:val="24"/>
        </w:rPr>
        <w:t xml:space="preserve">LLM EVALUATION &amp; BENCHMARKING PLATFORM</w:t>
      </w:r>
    </w:p>
    <w:p>
      <w:pPr>
        <w:spacing w:before="400"/>
        <w:jc w:val="center"/>
      </w:pPr>
      <w:r>
        <w:rPr>
          <w:b/>
          <w:bCs/>
          <w:color w:val="1F3864"/>
          <w:sz w:val="56"/>
          <w:szCs w:val="56"/>
        </w:rPr>
        <w:t xml:space="preserve">Software Requirements Specification</w:t>
      </w:r>
    </w:p>
    <w:p>
      <w:pPr>
        <w:spacing w:before="200"/>
        <w:jc w:val="center"/>
      </w:pPr>
      <w:r>
        <w:rPr>
          <w:i/>
          <w:iCs/>
          <w:color w:val="595959"/>
          <w:sz w:val="28"/>
          <w:szCs w:val="28"/>
        </w:rPr>
        <w:t xml:space="preserve">(SRS) — IEEE 830 style</w:t>
      </w:r>
    </w:p>
    <w:p>
      <w:pPr>
        <w:spacing w:before="1200"/>
        <w:jc w:val="center"/>
      </w:pPr>
      <w:r>
        <w:rPr>
          <w:sz w:val="22"/>
          <w:szCs w:val="22"/>
        </w:rPr>
        <w:t xml:space="preserve">Document Version 1.0</w:t>
      </w:r>
    </w:p>
    <w:p>
      <w:pPr>
        <w:jc w:val="center"/>
      </w:pPr>
      <w:r>
        <w:rPr>
          <w:sz w:val="22"/>
          <w:szCs w:val="22"/>
        </w:rPr>
        <w:t xml:space="preserve">September 2026</w:t>
      </w:r>
    </w:p>
    <w:p>
      <w:pPr>
        <w:spacing w:before="1600"/>
        <w:jc w:val="center"/>
      </w:pPr>
      <w:r>
        <w:rPr>
          <w:b/>
          <w:bCs/>
          <w:sz w:val="22"/>
          <w:szCs w:val="22"/>
        </w:rPr>
        <w:t xml:space="preserve">Prepared by</w:t>
      </w:r>
    </w:p>
    <w:p>
      <w:pPr>
        <w:jc w:val="center"/>
      </w:pPr>
      <w:r>
        <w:rPr>
          <w:sz w:val="22"/>
          <w:szCs w:val="22"/>
        </w:rPr>
        <w:t xml:space="preserve">Monish D — 24BDS1033</w:t>
      </w:r>
    </w:p>
    <w:p>
      <w:pPr>
        <w:jc w:val="center"/>
      </w:pPr>
      <w:r>
        <w:rPr>
          <w:sz w:val="22"/>
          <w:szCs w:val="22"/>
        </w:rPr>
        <w:t xml:space="preserve">Soaham S — 24BDS1021</w:t>
      </w:r>
    </w:p>
    <w:p>
      <w:pPr>
        <w:spacing w:before="800"/>
        <w:jc w:val="center"/>
      </w:pPr>
      <w:r>
        <w:rPr>
          <w:color w:val="595959"/>
          <w:sz w:val="20"/>
          <w:szCs w:val="20"/>
        </w:rPr>
        <w:t xml:space="preserve">Project: LLM Evaluation and Benchmarking Platform</w:t>
      </w:r>
    </w:p>
    <w:p>
      <w:pPr>
        <w:jc w:val="center"/>
      </w:pPr>
      <w:r>
        <w:rPr>
          <w:color w:val="595959"/>
          <w:sz w:val="20"/>
          <w:szCs w:val="20"/>
        </w:rPr>
        <w:t xml:space="preserve">Course: Software Engineering — Digital Assignment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1. Introduction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1.1 Purpose</w:t>
      </w:r>
    </w:p>
    <w:p>
      <w:pPr>
        <w:spacing w:after="160"/>
        <w:jc w:val="both"/>
      </w:pPr>
      <w:r>
        <w:rPr>
          <w:sz w:val="22"/>
          <w:szCs w:val="22"/>
        </w:rPr>
        <w:t xml:space="preserve">This Software Requirements Specification (SRS) translates the User Requirements Specification (URS) into precise, verifiable functional and non-functional requirements for the LLM Evaluation and Benchmarking Platform. It is written for the development team (backend, evaluation-engine, and frontend engineers) and is the contractual basis for design, implementation, and testing.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1.2 Scope</w:t>
      </w:r>
    </w:p>
    <w:p>
      <w:pPr>
        <w:spacing w:after="160"/>
        <w:jc w:val="both"/>
      </w:pPr>
      <w:r>
        <w:rPr>
          <w:sz w:val="22"/>
          <w:szCs w:val="22"/>
        </w:rPr>
        <w:t xml:space="preserve">The system under specification evaluates multiple LLMs against standardized and user-supplied datasets, computes quality, reliability/hallucination, capability, efficiency, and cost metrics, and produces a comparative positioning of each evaluated model against a maintained set of industry-standard baseline models, broken down by capability category (coding, mathematics, reasoning, creative writing, summarization, factual/grounded QA, long-context/out-of-context reasoning). The system is delivered as a web application with a Python backend and a React frontend, deployable on free-tier cloud infrastructure.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1.3 Definitions, Acronyms and Abbreviations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SUT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System/Model Under Test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Set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maintained registry of industry-standard reference models with pre-computed or periodically refreshed benchmark scores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Capability Category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of: Coding, Mathematics, Reasoning, Creative Writing, Summarization, Factual/Grounded QA, Long-Context / Out-of-Context Reasoning, Instruction Following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qualitative bucket (Frontier / Strong / Mid / Weak) derived from a model's percentile within a capability category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Adapter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provider-specific integration module implementing a common LLM-call interface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4B5"/>
        </w:rPr>
        <w:t xml:space="preserve">1.4 Overall Description</w:t>
      </w:r>
    </w:p>
    <w:p>
      <w:pPr>
        <w:spacing w:after="160"/>
        <w:jc w:val="both"/>
      </w:pPr>
      <w:r>
        <w:rPr>
          <w:sz w:val="22"/>
          <w:szCs w:val="22"/>
        </w:rPr>
        <w:t xml:space="preserve">The platform is organized as: Frontend (React) → Backend API (FastAPI) → Benchmark Manager → LLM Integration Layer (adapters) → Evaluation Engine (quality, hallucination, capability, efficiency, cost sub-modules) → Industry Comparison Engine (new, project-defining module) → Database → Reporting Layer. The Industry Comparison Engine is what differentiates this platform from a plain benchmark runner: it normalizes a model's raw scores against the Baseline Set and emits tiered, per-category positioning.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2. Functional Requirements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2.1 Model &amp; Provider Management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5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FR-1.1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allow adding/removing LLM provider credentials (API keys) through a secure settings interface.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FR-1.2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support at minimum: OpenAI-compatible APIs, OpenRouter, Anthropic, Google Gemini, and self-hosted/open-source models via a common adapter interface.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FR-1.3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allow selecting 1..N models for a single benchmark run.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FR-1.4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record model name, version/snapshot id, and provider for every run.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4B5"/>
        </w:rPr>
        <w:t xml:space="preserve">2.2 Dataset &amp; Prompt Management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5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FR-2.1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ship with prebuilt benchmark datasets covering: coding, mathematics, logical/commonsense reasoning, summarization, creative writing, factual/grounded QA, and long-context comprehension.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FR-2.2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allow a user to upload a custom dataset (JSON/CSV) containing prompts and optional reference answers.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FR-2.3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validate uploaded datasets against a defined schema and reject malformed files with a clear error.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FR-2.4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allow configuring shared model parameters (temperature, max_tokens, system prompt) applied identically across all selected models for a run.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4B5"/>
        </w:rPr>
        <w:t xml:space="preserve">2.3 Benchmark Execution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5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FR-3.1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execute every selected task against every selected model using identical prompts and parameters.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FR-3.2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record, per request: raw response, latency, input tokens, output tokens, and any error/failure code.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FR-3.3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continue executing remaining tasks/models if an individual request fails (fault isolation), and shall mark the failed cell as "failed" rather than omitting it.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FR-3.4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support batch/asynchronous execution and report run progress to the frontend.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FR-3.5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persist the full run configuration for reproducibility.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4B5"/>
        </w:rPr>
        <w:t xml:space="preserve">2.4 Quality Evaluation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5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FR-4.1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compute accuracy for tasks with reference answers using exact-match, F1, or semantic-similarity as appropriate to the task type.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FR-4.2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compute relevance, completeness, and instruction-following scores via LLM-as-a-Judge for open-ended tasks, using a documented judge model and rubric.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FR-4.3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record which evaluation method produced each score.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4B5"/>
        </w:rPr>
        <w:t xml:space="preserve">2.5 Hallucination &amp; Reliability Evaluation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5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FR-5.1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compute a response-level hallucination rate: proportion of responses containing at least one fabricated/unsupported/incorrect claim.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FR-5.2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shall, where a reference or source document exists, compute a claim-level hallucination rate via claim extraction and claim verification.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FR-5.3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compute a groundedness score for tasks that supply source context (e.g., RAG-style QA).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FR-5.4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allow a user to inspect each flagged claim together with the evidence used to flag it.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FR-5.5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compute a consistency score by re-running a sample of prompts and measuring output stability.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4B5"/>
        </w:rPr>
        <w:t xml:space="preserve">2.6 Capability Profiling &amp; Industry Comparison (Core Feature)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5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FR-6.1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maintain a Baseline Set of industry-standard models with pre-computed scores per capability category, refreshable on a schedule.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FR-6.2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map every benchmark task to exactly one capability category (Coding, Mathematics, Reasoning, Creative Writing, Summarization, Factual/Grounded QA, Long-Context/Out-of-Context Reasoning, Instruction Following).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FR-6.3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compute, per model per category, a normalized score (e.g., z-score or percentile) relative to the Baseline Set.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FR-6.4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classify each model-category pair into a Tier (Frontier / Strong / Mid / Weak) using documented, adjustable thresholds.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FR-6.5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generate a capability profile (radar chart data) per model across all categories.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FR-6.6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generate a plain-language positioning summary per model (e.g., "Frontier-tier on coding; Weak-tier on long-context reasoning versus current baselines").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FR-6.7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label every baseline comparison with the baseline model's version and the date its reference score was captured.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4B5"/>
        </w:rPr>
        <w:t xml:space="preserve">2.7 Efficiency &amp; Cost Evaluation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5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FR-7.1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record per-request latency (time-to-first-token and total time, where the provider exposes it).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FR-7.2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record input/output token counts per request.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FR-7.3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compute estimated cost per request using a configurable, per-provider pricing table.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FR-7.4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compute cost-per-successful-task and a cost-vs-performance metric for comparative plotting.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4B5"/>
        </w:rPr>
        <w:t xml:space="preserve">2.8 Reporting &amp; Visualization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5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FR-8.1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present a comparative dashboard with tables and charts covering all metric families.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FR-8.2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let a user drill into an individual response with its scores and rationale.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FR-8.3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export a run report as PDF and the raw results as CSV/JSON.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FR-8.4</w:t>
            </w:r>
          </w:p>
        </w:tc>
        <w:tc>
          <w:tcPr>
            <w:tcW w:type="dxa" w:w="8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retain benchmark run history and allow re-viewing a past run.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</w:rPr>
        <w:t xml:space="preserve">3. Non-Functional Requirements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3.1 Performance</w:t>
      </w:r>
    </w:p>
    <w:p>
      <w:pPr>
        <w:spacing w:after="160"/>
        <w:jc w:val="both"/>
      </w:pPr>
      <w:r>
        <w:rPr>
          <w:sz w:val="22"/>
          <w:szCs w:val="22"/>
        </w:rPr>
        <w:t xml:space="preserve">The system shall support batch execution of at least 50 concurrent evaluation tasks without failure on the target free-tier infrastructure, using asynchronous request handling and rate-limit-aware throttling per provider.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3.2 Scalability &amp; Extensibility</w:t>
      </w:r>
    </w:p>
    <w:p>
      <w:pPr>
        <w:spacing w:after="160"/>
        <w:jc w:val="both"/>
      </w:pPr>
      <w:r>
        <w:rPr>
          <w:sz w:val="22"/>
          <w:szCs w:val="22"/>
        </w:rPr>
        <w:t xml:space="preserve">Adding a new LLM provider shall require only a new adapter module conforming to the common interface, with no changes to the Evaluation Engine or Industry Comparison Engine. Adding a new capability category or dataset shall not require backend redeployment beyond a configuration/migration change.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3.3 Reliability &amp; Fault Tolerance</w:t>
      </w:r>
    </w:p>
    <w:p>
      <w:pPr>
        <w:spacing w:after="160"/>
        <w:jc w:val="both"/>
      </w:pPr>
      <w:r>
        <w:rPr>
          <w:sz w:val="22"/>
          <w:szCs w:val="22"/>
        </w:rPr>
        <w:t xml:space="preserve">A failure in one provider/model shall not abort the overall benchmark run (FR-3.3). All partial results shall be persisted incrementally, not only at run completion.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3.4 Security</w:t>
      </w:r>
    </w:p>
    <w:p>
      <w:pPr>
        <w:spacing w:after="160"/>
        <w:jc w:val="both"/>
      </w:pPr>
      <w:r>
        <w:rPr>
          <w:sz w:val="22"/>
          <w:szCs w:val="22"/>
        </w:rPr>
        <w:t xml:space="preserve">API keys shall be stored encrypted at rest and never returned to the frontend or embedded in exported reports. All external API calls shall occur server-side only.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3.5 Usability</w:t>
      </w:r>
    </w:p>
    <w:p>
      <w:pPr>
        <w:spacing w:after="160"/>
        <w:jc w:val="both"/>
      </w:pPr>
      <w:r>
        <w:rPr>
          <w:sz w:val="22"/>
          <w:szCs w:val="22"/>
        </w:rPr>
        <w:t xml:space="preserve">A first-time user shall be able to configure and launch a benchmark run without reading external documentation, guided by in-app defaults (a preselected dataset, model list, and parameters).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3.6 Maintainability</w:t>
      </w:r>
    </w:p>
    <w:p>
      <w:pPr>
        <w:spacing w:after="160"/>
        <w:jc w:val="both"/>
      </w:pPr>
      <w:r>
        <w:rPr>
          <w:sz w:val="22"/>
          <w:szCs w:val="22"/>
        </w:rPr>
        <w:t xml:space="preserve">The codebase shall separate adapters, evaluation metrics, the Industry Comparison Engine, and UI components into independently testable modules with unit test coverage for each evaluation metric.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3.7 Cost Constraint</w:t>
      </w:r>
    </w:p>
    <w:p>
      <w:pPr>
        <w:spacing w:after="160"/>
        <w:jc w:val="both"/>
      </w:pPr>
      <w:r>
        <w:rPr>
          <w:sz w:val="22"/>
          <w:szCs w:val="22"/>
        </w:rPr>
        <w:t xml:space="preserve">The production deployment shall run entirely on free tiers: free hosting (e.g., Railway free tier / Render / Fly.io free tier), free database (e.g., Supabase free tier / Neon free tier), free or free-credit inference (e.g., OpenRouter free models, NVIDIA NIM free credits, Cloudflare Workers AI free allocation, self-hosted small models). This constraint shall be explicit in every design decision.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4. External Interface Requirements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4.1 User Interfaces</w:t>
      </w:r>
    </w:p>
    <w:p>
      <w:pPr>
        <w:spacing w:after="160"/>
        <w:jc w:val="both"/>
      </w:pPr>
      <w:r>
        <w:rPr>
          <w:sz w:val="22"/>
          <w:szCs w:val="22"/>
        </w:rPr>
        <w:t xml:space="preserve">A responsive web UI (React) providing: model/dataset selection, run configuration, live run progress, results dashboard, model detail/drill-down, capability radar view, and report export.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4.2 Software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REST API (FastAPI/Flask) between frontend and backend, JSON payloads.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Outbound HTTPS calls to LLM provider APIs via provider adapters.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PostgreSQL (or SQLite in development) for persistence, accessed via an 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Optional object storage for exported PDF/CSV reports.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4.3 Communication Interfaces</w:t>
      </w:r>
    </w:p>
    <w:p>
      <w:pPr>
        <w:spacing w:after="160"/>
        <w:jc w:val="both"/>
      </w:pPr>
      <w:r>
        <w:rPr>
          <w:sz w:val="22"/>
          <w:szCs w:val="22"/>
        </w:rPr>
        <w:t xml:space="preserve">All communication uses HTTPS/TLS. Long-running benchmark runs shall expose a polling or WebSocket-based progress endpoint.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5. Data Requirements</w:t>
      </w:r>
    </w:p>
    <w:p>
      <w:pPr>
        <w:spacing w:after="160"/>
        <w:jc w:val="both"/>
      </w:pPr>
      <w:r>
        <w:rPr>
          <w:sz w:val="22"/>
          <w:szCs w:val="22"/>
        </w:rPr>
        <w:t xml:space="preserve">Core entities: Provider, Model, Dataset, Task, BenchmarkRun, RunResult (per model per task), EvaluationScore (per RunResult per metric), BaselineModel, BaselineScore (per category), CapabilityCategory, and Report. A RunResult links to one or more EvaluationScore rows (quality, hallucination, capability tier, efficiency, cost), and each model's CapabilityProfile is derived by aggregating EvaluationScore rows against BaselineScore per CapabilityCategory.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6. Traceability</w:t>
      </w:r>
    </w:p>
    <w:p>
      <w:pPr>
        <w:spacing w:after="160"/>
        <w:jc w:val="both"/>
      </w:pPr>
      <w:r>
        <w:rPr>
          <w:sz w:val="22"/>
          <w:szCs w:val="22"/>
        </w:rPr>
        <w:t xml:space="preserve">Each functional requirement in this SRS traces back to one or more URS user stories (e.g., FR-6.1–FR-6.7 trace to UR-05–UR-09, the industry-positioning requirements that define this platform's novelty relative to plain benchmark runners such as generic leaderboards).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SRS — LLM Evaluation &amp; Benchmarking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2026-09-06T18:13:17.090Z</dcterms:created>
  <dcterms:modified xsi:type="dcterms:W3CDTF">2026-09-06T18:13:17.091Z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