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74B5"/>
          <w:sz w:val="24"/>
          <w:szCs w:val="24"/>
        </w:rPr>
        <w:t xml:space="preserve">LLM EVALUATION &amp; BENCHMARKING PLATFORM</w:t>
      </w:r>
    </w:p>
    <w:p>
      <w:pPr>
        <w:spacing w:before="400"/>
        <w:jc w:val="center"/>
      </w:pPr>
      <w:r>
        <w:rPr>
          <w:b/>
          <w:bCs/>
          <w:color w:val="1F3864"/>
          <w:sz w:val="56"/>
          <w:szCs w:val="56"/>
        </w:rPr>
        <w:t xml:space="preserve">Software Development Plan</w:t>
      </w:r>
    </w:p>
    <w:p>
      <w:pPr>
        <w:spacing w:before="200"/>
        <w:jc w:val="center"/>
      </w:pPr>
      <w:r>
        <w:rPr>
          <w:i/>
          <w:iCs/>
          <w:color w:val="595959"/>
          <w:sz w:val="28"/>
          <w:szCs w:val="28"/>
        </w:rPr>
        <w:t xml:space="preserve">(SDP)</w:t>
      </w:r>
    </w:p>
    <w:p>
      <w:pPr>
        <w:spacing w:before="1200"/>
        <w:jc w:val="center"/>
      </w:pPr>
      <w:r>
        <w:rPr>
          <w:sz w:val="22"/>
          <w:szCs w:val="22"/>
        </w:rPr>
        <w:t xml:space="preserve">Document Version 1.0</w:t>
      </w:r>
    </w:p>
    <w:p>
      <w:pPr>
        <w:jc w:val="center"/>
      </w:pPr>
      <w:r>
        <w:rPr>
          <w:sz w:val="22"/>
          <w:szCs w:val="22"/>
        </w:rPr>
        <w:t xml:space="preserve">September 2026</w:t>
      </w:r>
    </w:p>
    <w:p>
      <w:pPr>
        <w:spacing w:before="1600"/>
        <w:jc w:val="center"/>
      </w:pPr>
      <w:r>
        <w:rPr>
          <w:b/>
          <w:bCs/>
          <w:sz w:val="22"/>
          <w:szCs w:val="22"/>
        </w:rPr>
        <w:t xml:space="preserve">Prepared by</w:t>
      </w:r>
    </w:p>
    <w:p>
      <w:pPr>
        <w:jc w:val="center"/>
      </w:pPr>
      <w:r>
        <w:rPr>
          <w:sz w:val="22"/>
          <w:szCs w:val="22"/>
        </w:rPr>
        <w:t xml:space="preserve">Monish D — 24BDS1033</w:t>
      </w:r>
    </w:p>
    <w:p>
      <w:pPr>
        <w:jc w:val="center"/>
      </w:pPr>
      <w:r>
        <w:rPr>
          <w:sz w:val="22"/>
          <w:szCs w:val="22"/>
        </w:rPr>
        <w:t xml:space="preserve">Soaham S — 24BDS1021</w:t>
      </w:r>
    </w:p>
    <w:p>
      <w:pPr>
        <w:spacing w:before="800"/>
        <w:jc w:val="center"/>
      </w:pPr>
      <w:r>
        <w:rPr>
          <w:color w:val="595959"/>
          <w:sz w:val="20"/>
          <w:szCs w:val="20"/>
        </w:rPr>
        <w:t xml:space="preserve">Project: LLM Evaluation and Benchmarking Platform</w:t>
      </w:r>
    </w:p>
    <w:p>
      <w:pPr>
        <w:jc w:val="center"/>
      </w:pPr>
      <w:r>
        <w:rPr>
          <w:color w:val="595959"/>
          <w:sz w:val="20"/>
          <w:szCs w:val="20"/>
        </w:rPr>
        <w:t xml:space="preserve">Course: Software Engineering — Digital Assignment</w:t>
      </w:r>
    </w:p>
    <w:p>
      <w:r>
        <w:br w:type="page"/>
      </w:r>
    </w:p>
    <w:p>
      <w:pPr>
        <w:pStyle w:val="Heading1"/>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1. Introduction</w:t>
      </w:r>
    </w:p>
    <w:p>
      <w:pPr>
        <w:pStyle w:val="Heading2"/>
        <w:spacing w:after="150" w:before="300"/>
      </w:pPr>
      <w:r>
        <w:rPr>
          <w:b/>
          <w:bCs/>
          <w:color w:val="2E74B5"/>
        </w:rPr>
        <w:t xml:space="preserve">1.1 Purpose</w:t>
      </w:r>
    </w:p>
    <w:p>
      <w:pPr>
        <w:spacing w:after="160"/>
        <w:jc w:val="both"/>
      </w:pPr>
      <w:r>
        <w:rPr>
          <w:sz w:val="22"/>
          <w:szCs w:val="22"/>
        </w:rPr>
        <w:t xml:space="preserve">This Software Development Plan (SDP) defines how the LLM Evaluation and Benchmarking Platform will be built: process model, phased schedule, team roles, tooling, environment, risk management, and quality assurance approach. It operationalizes the phases outlined in the source project report into a concrete, zero-budget, bottom-up execution plan.</w:t>
      </w:r>
    </w:p>
    <w:p>
      <w:pPr>
        <w:pStyle w:val="Heading2"/>
        <w:spacing w:after="150" w:before="300"/>
      </w:pPr>
      <w:r>
        <w:rPr>
          <w:b/>
          <w:bCs/>
          <w:color w:val="2E74B5"/>
        </w:rPr>
        <w:t xml:space="preserve">1.2 Development Approach</w:t>
      </w:r>
    </w:p>
    <w:p>
      <w:pPr>
        <w:spacing w:after="160"/>
        <w:jc w:val="both"/>
      </w:pPr>
      <w:r>
        <w:rPr>
          <w:sz w:val="22"/>
          <w:szCs w:val="22"/>
        </w:rPr>
        <w:t xml:space="preserve">The project will follow an iterative, bottom-up incremental methodology: core evaluation logic and data model are built and validated first (without any UI), followed by the API layer, followed by the frontend, followed by the industry-comparison and reporting layers, followed by deployment. Each increment is independently testable before the next is layered on top, which suits a two-person academic team better than a heavyweight Scrum process while still using short iteration cycles (roughly weekly) with a running backlog.</w:t>
      </w:r>
    </w:p>
    <w:p>
      <w:pPr>
        <w:pStyle w:val="Heading1"/>
        <w:spacing w:after="200" w:before="400"/>
      </w:pPr>
      <w:r>
        <w:rPr>
          <w:b/>
          <w:bCs/>
          <w:color w:val="1F3864"/>
        </w:rPr>
        <w:t xml:space="preserve">2. Project Organization</w:t>
      </w:r>
    </w:p>
    <w:p>
      <w:pPr>
        <w:pStyle w:val="Heading2"/>
        <w:spacing w:after="150" w:before="300"/>
      </w:pPr>
      <w:r>
        <w:rPr>
          <w:b/>
          <w:bCs/>
          <w:color w:val="2E74B5"/>
        </w:rPr>
        <w:t xml:space="preserve">2.1 Team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Member</w:t>
            </w:r>
          </w:p>
        </w:tc>
        <w:tc>
          <w:tcPr>
            <w:tcW w:type="dxa" w:w="6350"/>
            <w:shd w:fill="1F3864" w:val="clear"/>
            <w:tcMar>
              <w:top w:type="dxa" w:w="80"/>
              <w:left w:type="dxa" w:w="100"/>
              <w:bottom w:type="dxa" w:w="80"/>
              <w:right w:type="dxa" w:w="100"/>
            </w:tcMar>
          </w:tcPr>
          <w:p>
            <w:r>
              <w:rPr>
                <w:b/>
                <w:bCs/>
                <w:color w:val="FFFFFF"/>
                <w:sz w:val="20"/>
                <w:szCs w:val="20"/>
              </w:rPr>
              <w:t xml:space="preserve">Primary Responsibility</w:t>
            </w:r>
          </w:p>
        </w:tc>
      </w:tr>
      <w:tr>
        <w:tc>
          <w:tcPr>
            <w:tcW w:type="dxa" w:w="3000"/>
            <w:tcMar>
              <w:top w:type="dxa" w:w="80"/>
              <w:left w:type="dxa" w:w="100"/>
              <w:bottom w:type="dxa" w:w="80"/>
              <w:right w:type="dxa" w:w="100"/>
            </w:tcMar>
          </w:tcPr>
          <w:p>
            <w:r>
              <w:rPr>
                <w:b w:val="false"/>
                <w:bCs w:val="false"/>
                <w:color w:val="000000"/>
                <w:sz w:val="20"/>
                <w:szCs w:val="20"/>
              </w:rPr>
              <w:t xml:space="preserve">Monish D (24BDS1033)</w:t>
            </w:r>
          </w:p>
        </w:tc>
        <w:tc>
          <w:tcPr>
            <w:tcW w:type="dxa" w:w="6350"/>
            <w:tcMar>
              <w:top w:type="dxa" w:w="80"/>
              <w:left w:type="dxa" w:w="100"/>
              <w:bottom w:type="dxa" w:w="80"/>
              <w:right w:type="dxa" w:w="100"/>
            </w:tcMar>
          </w:tcPr>
          <w:p>
            <w:r>
              <w:rPr>
                <w:b w:val="false"/>
                <w:bCs w:val="false"/>
                <w:color w:val="000000"/>
                <w:sz w:val="20"/>
                <w:szCs w:val="20"/>
              </w:rPr>
              <w:t xml:space="preserve">Backend, Evaluation Engine, LLM Integration Layer, Industry Comparison Engine, Deployment (Railway)</w:t>
            </w:r>
          </w:p>
        </w:tc>
      </w:tr>
      <w:tr>
        <w:tc>
          <w:tcPr>
            <w:tcW w:type="dxa" w:w="3000"/>
            <w:tcMar>
              <w:top w:type="dxa" w:w="80"/>
              <w:left w:type="dxa" w:w="100"/>
              <w:bottom w:type="dxa" w:w="80"/>
              <w:right w:type="dxa" w:w="100"/>
            </w:tcMar>
          </w:tcPr>
          <w:p>
            <w:r>
              <w:rPr>
                <w:b w:val="false"/>
                <w:bCs w:val="false"/>
                <w:color w:val="000000"/>
                <w:sz w:val="20"/>
                <w:szCs w:val="20"/>
              </w:rPr>
              <w:t xml:space="preserve">Soaham S (24BDS1021)</w:t>
            </w:r>
          </w:p>
        </w:tc>
        <w:tc>
          <w:tcPr>
            <w:tcW w:type="dxa" w:w="6350"/>
            <w:tcMar>
              <w:top w:type="dxa" w:w="80"/>
              <w:left w:type="dxa" w:w="100"/>
              <w:bottom w:type="dxa" w:w="80"/>
              <w:right w:type="dxa" w:w="100"/>
            </w:tcMar>
          </w:tcPr>
          <w:p>
            <w:r>
              <w:rPr>
                <w:b w:val="false"/>
                <w:bCs w:val="false"/>
                <w:color w:val="000000"/>
                <w:sz w:val="20"/>
                <w:szCs w:val="20"/>
              </w:rPr>
              <w:t xml:space="preserve">Data model &amp; database, Benchmark Manager, Dataset curation, Reporting module, Frontend integration (Stitch-generated UI)</w:t>
            </w:r>
          </w:p>
        </w:tc>
      </w:tr>
    </w:tbl>
    <w:p>
      <w:pPr>
        <w:spacing w:after="160"/>
        <w:jc w:val="both"/>
      </w:pPr>
      <w:r>
        <w:rPr>
          <w:sz w:val="22"/>
          <w:szCs w:val="22"/>
        </w:rPr>
        <w:t xml:space="preserve">Both members jointly own requirements, architecture decisions, and testing; role split above indicates primary ownership only.</w:t>
      </w:r>
    </w:p>
    <w:p>
      <w:pPr>
        <w:pStyle w:val="Heading2"/>
        <w:spacing w:after="150" w:before="300"/>
      </w:pPr>
      <w:r>
        <w:rPr>
          <w:b/>
          <w:bCs/>
          <w:color w:val="2E74B5"/>
        </w:rPr>
        <w:t xml:space="preserve">2.2 Tools</w:t>
      </w:r>
    </w:p>
    <w:p>
      <w:pPr>
        <w:pStyle w:val="ListParagraph"/>
        <w:numPr>
          <w:ilvl w:val="0"/>
          <w:numId w:val="2"/>
        </w:numPr>
        <w:spacing w:after="80"/>
      </w:pPr>
      <w:r>
        <w:rPr>
          <w:sz w:val="22"/>
          <w:szCs w:val="22"/>
        </w:rPr>
        <w:t xml:space="preserve">Version control: GitHub (private repo, feature branches, PR review)</w:t>
      </w:r>
    </w:p>
    <w:p>
      <w:pPr>
        <w:pStyle w:val="ListParagraph"/>
        <w:numPr>
          <w:ilvl w:val="0"/>
          <w:numId w:val="2"/>
        </w:numPr>
        <w:spacing w:after="80"/>
      </w:pPr>
      <w:r>
        <w:rPr>
          <w:sz w:val="22"/>
          <w:szCs w:val="22"/>
        </w:rPr>
        <w:t xml:space="preserve">IDE / AI coding agent: Antigravity (backend/full-stack build) and Codex-connected Stitch (frontend generation)</w:t>
      </w:r>
    </w:p>
    <w:p>
      <w:pPr>
        <w:pStyle w:val="ListParagraph"/>
        <w:numPr>
          <w:ilvl w:val="0"/>
          <w:numId w:val="2"/>
        </w:numPr>
        <w:spacing w:after="80"/>
      </w:pPr>
      <w:r>
        <w:rPr>
          <w:sz w:val="22"/>
          <w:szCs w:val="22"/>
        </w:rPr>
        <w:t xml:space="preserve">Project tracking: GitHub Projects / Issues (Kanban board)</w:t>
      </w:r>
    </w:p>
    <w:p>
      <w:pPr>
        <w:pStyle w:val="ListParagraph"/>
        <w:numPr>
          <w:ilvl w:val="0"/>
          <w:numId w:val="2"/>
        </w:numPr>
        <w:spacing w:after="80"/>
      </w:pPr>
      <w:r>
        <w:rPr>
          <w:sz w:val="22"/>
          <w:szCs w:val="22"/>
        </w:rPr>
        <w:t xml:space="preserve">API testing: Postman</w:t>
      </w:r>
    </w:p>
    <w:p>
      <w:pPr>
        <w:pStyle w:val="ListParagraph"/>
        <w:numPr>
          <w:ilvl w:val="0"/>
          <w:numId w:val="2"/>
        </w:numPr>
        <w:spacing w:after="80"/>
      </w:pPr>
      <w:r>
        <w:rPr>
          <w:sz w:val="22"/>
          <w:szCs w:val="22"/>
        </w:rPr>
        <w:t xml:space="preserve">Containerization (optional): Docker for local parity with deployment</w:t>
      </w:r>
    </w:p>
    <w:p>
      <w:pPr>
        <w:pStyle w:val="ListParagraph"/>
        <w:numPr>
          <w:ilvl w:val="0"/>
          <w:numId w:val="2"/>
        </w:numPr>
        <w:spacing w:after="80"/>
      </w:pPr>
      <w:r>
        <w:rPr>
          <w:sz w:val="22"/>
          <w:szCs w:val="22"/>
        </w:rPr>
        <w:t xml:space="preserve">CI: GitHub Actions (lint + unit tests on push)</w:t>
      </w:r>
    </w:p>
    <w:p>
      <w:pPr>
        <w:pStyle w:val="Heading1"/>
        <w:spacing w:after="200" w:before="400"/>
      </w:pPr>
      <w:r>
        <w:rPr>
          <w:b/>
          <w:bCs/>
          <w:color w:val="1F3864"/>
        </w:rPr>
        <w:t xml:space="preserve">3. Phased Schedule</w:t>
      </w:r>
    </w:p>
    <w:p>
      <w:pPr>
        <w:spacing w:after="160"/>
        <w:jc w:val="both"/>
      </w:pPr>
      <w:r>
        <w:rPr>
          <w:sz w:val="22"/>
          <w:szCs w:val="22"/>
        </w:rPr>
        <w:t xml:space="preserve">The schedule below follows a bottom-up order: data &amp; evaluation core → backend API → frontend → industry comparison &amp; reporting → hardening → deployment. Durations are indicative for an academic-timeline, two-person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650"/>
        <w:gridCol w:w="11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Phase</w:t>
            </w:r>
          </w:p>
        </w:tc>
        <w:tc>
          <w:tcPr>
            <w:tcW w:type="dxa" w:w="5650"/>
            <w:shd w:fill="1F3864" w:val="clear"/>
            <w:tcMar>
              <w:top w:type="dxa" w:w="80"/>
              <w:left w:type="dxa" w:w="100"/>
              <w:bottom w:type="dxa" w:w="80"/>
              <w:right w:type="dxa" w:w="100"/>
            </w:tcMar>
          </w:tcPr>
          <w:p>
            <w:r>
              <w:rPr>
                <w:b/>
                <w:bCs/>
                <w:color w:val="FFFFFF"/>
                <w:sz w:val="20"/>
                <w:szCs w:val="20"/>
              </w:rPr>
              <w:t xml:space="preserve">Deliverable</w:t>
            </w:r>
          </w:p>
        </w:tc>
        <w:tc>
          <w:tcPr>
            <w:tcW w:type="dxa" w:w="1100"/>
            <w:shd w:fill="1F3864" w:val="clear"/>
            <w:tcMar>
              <w:top w:type="dxa" w:w="80"/>
              <w:left w:type="dxa" w:w="100"/>
              <w:bottom w:type="dxa" w:w="80"/>
              <w:right w:type="dxa" w:w="100"/>
            </w:tcMar>
          </w:tcPr>
          <w:p>
            <w:r>
              <w:rPr>
                <w:b/>
                <w:bCs/>
                <w:color w:val="FFFFFF"/>
                <w:sz w:val="20"/>
                <w:szCs w:val="20"/>
              </w:rPr>
              <w:t xml:space="preserve">Duration</w:t>
            </w:r>
          </w:p>
        </w:tc>
      </w:tr>
      <w:tr>
        <w:tc>
          <w:tcPr>
            <w:tcW w:type="dxa" w:w="2600"/>
            <w:tcMar>
              <w:top w:type="dxa" w:w="80"/>
              <w:left w:type="dxa" w:w="100"/>
              <w:bottom w:type="dxa" w:w="80"/>
              <w:right w:type="dxa" w:w="100"/>
            </w:tcMar>
          </w:tcPr>
          <w:p>
            <w:r>
              <w:rPr>
                <w:b w:val="false"/>
                <w:bCs w:val="false"/>
                <w:color w:val="000000"/>
                <w:sz w:val="20"/>
                <w:szCs w:val="20"/>
              </w:rPr>
              <w:t xml:space="preserve">P0 — Requirements &amp; Design</w:t>
            </w:r>
          </w:p>
        </w:tc>
        <w:tc>
          <w:tcPr>
            <w:tcW w:type="dxa" w:w="5650"/>
            <w:tcMar>
              <w:top w:type="dxa" w:w="80"/>
              <w:left w:type="dxa" w:w="100"/>
              <w:bottom w:type="dxa" w:w="80"/>
              <w:right w:type="dxa" w:w="100"/>
            </w:tcMar>
          </w:tcPr>
          <w:p>
            <w:r>
              <w:rPr>
                <w:b w:val="false"/>
                <w:bCs w:val="false"/>
                <w:color w:val="000000"/>
                <w:sz w:val="20"/>
                <w:szCs w:val="20"/>
              </w:rPr>
              <w:t xml:space="preserve">URS, SRS, SDP, SAD, PRD (this document set); finalized data model</w:t>
            </w:r>
          </w:p>
        </w:tc>
        <w:tc>
          <w:tcPr>
            <w:tcW w:type="dxa" w:w="1100"/>
            <w:tcMar>
              <w:top w:type="dxa" w:w="80"/>
              <w:left w:type="dxa" w:w="100"/>
              <w:bottom w:type="dxa" w:w="80"/>
              <w:right w:type="dxa" w:w="100"/>
            </w:tcMar>
          </w:tcPr>
          <w:p>
            <w:r>
              <w:rPr>
                <w:b w:val="false"/>
                <w:bCs w:val="false"/>
                <w:color w:val="000000"/>
                <w:sz w:val="20"/>
                <w:szCs w:val="20"/>
              </w:rPr>
              <w:t xml:space="preserve">1 week</w:t>
            </w:r>
          </w:p>
        </w:tc>
      </w:tr>
      <w:tr>
        <w:tc>
          <w:tcPr>
            <w:tcW w:type="dxa" w:w="2600"/>
            <w:tcMar>
              <w:top w:type="dxa" w:w="80"/>
              <w:left w:type="dxa" w:w="100"/>
              <w:bottom w:type="dxa" w:w="80"/>
              <w:right w:type="dxa" w:w="100"/>
            </w:tcMar>
          </w:tcPr>
          <w:p>
            <w:r>
              <w:rPr>
                <w:b w:val="false"/>
                <w:bCs w:val="false"/>
                <w:color w:val="000000"/>
                <w:sz w:val="20"/>
                <w:szCs w:val="20"/>
              </w:rPr>
              <w:t xml:space="preserve">P1 — Core Data Layer</w:t>
            </w:r>
          </w:p>
        </w:tc>
        <w:tc>
          <w:tcPr>
            <w:tcW w:type="dxa" w:w="5650"/>
            <w:tcMar>
              <w:top w:type="dxa" w:w="80"/>
              <w:left w:type="dxa" w:w="100"/>
              <w:bottom w:type="dxa" w:w="80"/>
              <w:right w:type="dxa" w:w="100"/>
            </w:tcMar>
          </w:tcPr>
          <w:p>
            <w:r>
              <w:rPr>
                <w:b w:val="false"/>
                <w:bCs w:val="false"/>
                <w:color w:val="000000"/>
                <w:sz w:val="20"/>
                <w:szCs w:val="20"/>
              </w:rPr>
              <w:t xml:space="preserve">Database schema, ORM models, seed data for datasets &amp; baseline models</w:t>
            </w:r>
          </w:p>
        </w:tc>
        <w:tc>
          <w:tcPr>
            <w:tcW w:type="dxa" w:w="1100"/>
            <w:tcMar>
              <w:top w:type="dxa" w:w="80"/>
              <w:left w:type="dxa" w:w="100"/>
              <w:bottom w:type="dxa" w:w="80"/>
              <w:right w:type="dxa" w:w="100"/>
            </w:tcMar>
          </w:tcPr>
          <w:p>
            <w:r>
              <w:rPr>
                <w:b w:val="false"/>
                <w:bCs w:val="false"/>
                <w:color w:val="000000"/>
                <w:sz w:val="20"/>
                <w:szCs w:val="20"/>
              </w:rPr>
              <w:t xml:space="preserve">3–4 days</w:t>
            </w:r>
          </w:p>
        </w:tc>
      </w:tr>
      <w:tr>
        <w:tc>
          <w:tcPr>
            <w:tcW w:type="dxa" w:w="2600"/>
            <w:tcMar>
              <w:top w:type="dxa" w:w="80"/>
              <w:left w:type="dxa" w:w="100"/>
              <w:bottom w:type="dxa" w:w="80"/>
              <w:right w:type="dxa" w:w="100"/>
            </w:tcMar>
          </w:tcPr>
          <w:p>
            <w:r>
              <w:rPr>
                <w:b w:val="false"/>
                <w:bCs w:val="false"/>
                <w:color w:val="000000"/>
                <w:sz w:val="20"/>
                <w:szCs w:val="20"/>
              </w:rPr>
              <w:t xml:space="preserve">P2 — LLM Integration Layer</w:t>
            </w:r>
          </w:p>
        </w:tc>
        <w:tc>
          <w:tcPr>
            <w:tcW w:type="dxa" w:w="5650"/>
            <w:tcMar>
              <w:top w:type="dxa" w:w="80"/>
              <w:left w:type="dxa" w:w="100"/>
              <w:bottom w:type="dxa" w:w="80"/>
              <w:right w:type="dxa" w:w="100"/>
            </w:tcMar>
          </w:tcPr>
          <w:p>
            <w:r>
              <w:rPr>
                <w:b w:val="false"/>
                <w:bCs w:val="false"/>
                <w:color w:val="000000"/>
                <w:sz w:val="20"/>
                <w:szCs w:val="20"/>
              </w:rPr>
              <w:t xml:space="preserve">Provider adapters (OpenRouter free models, Gemini free tier, self-hosted fallback) behind a common interface; retry/rate-limit handling</w:t>
            </w:r>
          </w:p>
        </w:tc>
        <w:tc>
          <w:tcPr>
            <w:tcW w:type="dxa" w:w="1100"/>
            <w:tcMar>
              <w:top w:type="dxa" w:w="80"/>
              <w:left w:type="dxa" w:w="100"/>
              <w:bottom w:type="dxa" w:w="80"/>
              <w:right w:type="dxa" w:w="100"/>
            </w:tcMar>
          </w:tcPr>
          <w:p>
            <w:r>
              <w:rPr>
                <w:b w:val="false"/>
                <w:bCs w:val="false"/>
                <w:color w:val="000000"/>
                <w:sz w:val="20"/>
                <w:szCs w:val="20"/>
              </w:rPr>
              <w:t xml:space="preserve">4–5 days</w:t>
            </w:r>
          </w:p>
        </w:tc>
      </w:tr>
      <w:tr>
        <w:tc>
          <w:tcPr>
            <w:tcW w:type="dxa" w:w="2600"/>
            <w:tcMar>
              <w:top w:type="dxa" w:w="80"/>
              <w:left w:type="dxa" w:w="100"/>
              <w:bottom w:type="dxa" w:w="80"/>
              <w:right w:type="dxa" w:w="100"/>
            </w:tcMar>
          </w:tcPr>
          <w:p>
            <w:r>
              <w:rPr>
                <w:b w:val="false"/>
                <w:bCs w:val="false"/>
                <w:color w:val="000000"/>
                <w:sz w:val="20"/>
                <w:szCs w:val="20"/>
              </w:rPr>
              <w:t xml:space="preserve">P3 — Evaluation Engine (quality)</w:t>
            </w:r>
          </w:p>
        </w:tc>
        <w:tc>
          <w:tcPr>
            <w:tcW w:type="dxa" w:w="5650"/>
            <w:tcMar>
              <w:top w:type="dxa" w:w="80"/>
              <w:left w:type="dxa" w:w="100"/>
              <w:bottom w:type="dxa" w:w="80"/>
              <w:right w:type="dxa" w:w="100"/>
            </w:tcMar>
          </w:tcPr>
          <w:p>
            <w:r>
              <w:rPr>
                <w:b w:val="false"/>
                <w:bCs w:val="false"/>
                <w:color w:val="000000"/>
                <w:sz w:val="20"/>
                <w:szCs w:val="20"/>
              </w:rPr>
              <w:t xml:space="preserve">Exact-match/F1/semantic-similarity scorers; LLM-as-a-Judge scorer for open-ended tasks</w:t>
            </w:r>
          </w:p>
        </w:tc>
        <w:tc>
          <w:tcPr>
            <w:tcW w:type="dxa" w:w="1100"/>
            <w:tcMar>
              <w:top w:type="dxa" w:w="80"/>
              <w:left w:type="dxa" w:w="100"/>
              <w:bottom w:type="dxa" w:w="80"/>
              <w:right w:type="dxa" w:w="100"/>
            </w:tcMar>
          </w:tcPr>
          <w:p>
            <w:r>
              <w:rPr>
                <w:b w:val="false"/>
                <w:bCs w:val="false"/>
                <w:color w:val="000000"/>
                <w:sz w:val="20"/>
                <w:szCs w:val="20"/>
              </w:rPr>
              <w:t xml:space="preserve">4–5 days</w:t>
            </w:r>
          </w:p>
        </w:tc>
      </w:tr>
      <w:tr>
        <w:tc>
          <w:tcPr>
            <w:tcW w:type="dxa" w:w="2600"/>
            <w:tcMar>
              <w:top w:type="dxa" w:w="80"/>
              <w:left w:type="dxa" w:w="100"/>
              <w:bottom w:type="dxa" w:w="80"/>
              <w:right w:type="dxa" w:w="100"/>
            </w:tcMar>
          </w:tcPr>
          <w:p>
            <w:r>
              <w:rPr>
                <w:b w:val="false"/>
                <w:bCs w:val="false"/>
                <w:color w:val="000000"/>
                <w:sz w:val="20"/>
                <w:szCs w:val="20"/>
              </w:rPr>
              <w:t xml:space="preserve">P4 — Hallucination &amp; Reliability Module</w:t>
            </w:r>
          </w:p>
        </w:tc>
        <w:tc>
          <w:tcPr>
            <w:tcW w:type="dxa" w:w="5650"/>
            <w:tcMar>
              <w:top w:type="dxa" w:w="80"/>
              <w:left w:type="dxa" w:w="100"/>
              <w:bottom w:type="dxa" w:w="80"/>
              <w:right w:type="dxa" w:w="100"/>
            </w:tcMar>
          </w:tcPr>
          <w:p>
            <w:r>
              <w:rPr>
                <w:b w:val="false"/>
                <w:bCs w:val="false"/>
                <w:color w:val="000000"/>
                <w:sz w:val="20"/>
                <w:szCs w:val="20"/>
              </w:rPr>
              <w:t xml:space="preserve">Claim extraction, claim verification, groundedness &amp; consistency scoring</w:t>
            </w:r>
          </w:p>
        </w:tc>
        <w:tc>
          <w:tcPr>
            <w:tcW w:type="dxa" w:w="1100"/>
            <w:tcMar>
              <w:top w:type="dxa" w:w="80"/>
              <w:left w:type="dxa" w:w="100"/>
              <w:bottom w:type="dxa" w:w="80"/>
              <w:right w:type="dxa" w:w="100"/>
            </w:tcMar>
          </w:tcPr>
          <w:p>
            <w:r>
              <w:rPr>
                <w:b w:val="false"/>
                <w:bCs w:val="false"/>
                <w:color w:val="000000"/>
                <w:sz w:val="20"/>
                <w:szCs w:val="20"/>
              </w:rPr>
              <w:t xml:space="preserve">5–6 days</w:t>
            </w:r>
          </w:p>
        </w:tc>
      </w:tr>
      <w:tr>
        <w:tc>
          <w:tcPr>
            <w:tcW w:type="dxa" w:w="2600"/>
            <w:tcMar>
              <w:top w:type="dxa" w:w="80"/>
              <w:left w:type="dxa" w:w="100"/>
              <w:bottom w:type="dxa" w:w="80"/>
              <w:right w:type="dxa" w:w="100"/>
            </w:tcMar>
          </w:tcPr>
          <w:p>
            <w:r>
              <w:rPr>
                <w:b w:val="false"/>
                <w:bCs w:val="false"/>
                <w:color w:val="000000"/>
                <w:sz w:val="20"/>
                <w:szCs w:val="20"/>
              </w:rPr>
              <w:t xml:space="preserve">P5 — Industry Comparison Engine</w:t>
            </w:r>
          </w:p>
        </w:tc>
        <w:tc>
          <w:tcPr>
            <w:tcW w:type="dxa" w:w="5650"/>
            <w:tcMar>
              <w:top w:type="dxa" w:w="80"/>
              <w:left w:type="dxa" w:w="100"/>
              <w:bottom w:type="dxa" w:w="80"/>
              <w:right w:type="dxa" w:w="100"/>
            </w:tcMar>
          </w:tcPr>
          <w:p>
            <w:r>
              <w:rPr>
                <w:b w:val="false"/>
                <w:bCs w:val="false"/>
                <w:color w:val="000000"/>
                <w:sz w:val="20"/>
                <w:szCs w:val="20"/>
              </w:rPr>
              <w:t xml:space="preserve">Baseline registry, normalization (z-score/percentile), tiering, capability profile generation, positioning-statement generator</w:t>
            </w:r>
          </w:p>
        </w:tc>
        <w:tc>
          <w:tcPr>
            <w:tcW w:type="dxa" w:w="1100"/>
            <w:tcMar>
              <w:top w:type="dxa" w:w="80"/>
              <w:left w:type="dxa" w:w="100"/>
              <w:bottom w:type="dxa" w:w="80"/>
              <w:right w:type="dxa" w:w="100"/>
            </w:tcMar>
          </w:tcPr>
          <w:p>
            <w:r>
              <w:rPr>
                <w:b w:val="false"/>
                <w:bCs w:val="false"/>
                <w:color w:val="000000"/>
                <w:sz w:val="20"/>
                <w:szCs w:val="20"/>
              </w:rPr>
              <w:t xml:space="preserve">5–6 days</w:t>
            </w:r>
          </w:p>
        </w:tc>
      </w:tr>
      <w:tr>
        <w:tc>
          <w:tcPr>
            <w:tcW w:type="dxa" w:w="2600"/>
            <w:tcMar>
              <w:top w:type="dxa" w:w="80"/>
              <w:left w:type="dxa" w:w="100"/>
              <w:bottom w:type="dxa" w:w="80"/>
              <w:right w:type="dxa" w:w="100"/>
            </w:tcMar>
          </w:tcPr>
          <w:p>
            <w:r>
              <w:rPr>
                <w:b w:val="false"/>
                <w:bCs w:val="false"/>
                <w:color w:val="000000"/>
                <w:sz w:val="20"/>
                <w:szCs w:val="20"/>
              </w:rPr>
              <w:t xml:space="preserve">P6 — Efficiency &amp; Cost Module</w:t>
            </w:r>
          </w:p>
        </w:tc>
        <w:tc>
          <w:tcPr>
            <w:tcW w:type="dxa" w:w="5650"/>
            <w:tcMar>
              <w:top w:type="dxa" w:w="80"/>
              <w:left w:type="dxa" w:w="100"/>
              <w:bottom w:type="dxa" w:w="80"/>
              <w:right w:type="dxa" w:w="100"/>
            </w:tcMar>
          </w:tcPr>
          <w:p>
            <w:r>
              <w:rPr>
                <w:b w:val="false"/>
                <w:bCs w:val="false"/>
                <w:color w:val="000000"/>
                <w:sz w:val="20"/>
                <w:szCs w:val="20"/>
              </w:rPr>
              <w:t xml:space="preserve">Latency capture, token accounting, pricing-table-based cost estimation</w:t>
            </w:r>
          </w:p>
        </w:tc>
        <w:tc>
          <w:tcPr>
            <w:tcW w:type="dxa" w:w="1100"/>
            <w:tcMar>
              <w:top w:type="dxa" w:w="80"/>
              <w:left w:type="dxa" w:w="100"/>
              <w:bottom w:type="dxa" w:w="80"/>
              <w:right w:type="dxa" w:w="100"/>
            </w:tcMar>
          </w:tcPr>
          <w:p>
            <w:r>
              <w:rPr>
                <w:b w:val="false"/>
                <w:bCs w:val="false"/>
                <w:color w:val="000000"/>
                <w:sz w:val="20"/>
                <w:szCs w:val="20"/>
              </w:rPr>
              <w:t xml:space="preserve">2–3 days</w:t>
            </w:r>
          </w:p>
        </w:tc>
      </w:tr>
      <w:tr>
        <w:tc>
          <w:tcPr>
            <w:tcW w:type="dxa" w:w="2600"/>
            <w:tcMar>
              <w:top w:type="dxa" w:w="80"/>
              <w:left w:type="dxa" w:w="100"/>
              <w:bottom w:type="dxa" w:w="80"/>
              <w:right w:type="dxa" w:w="100"/>
            </w:tcMar>
          </w:tcPr>
          <w:p>
            <w:r>
              <w:rPr>
                <w:b w:val="false"/>
                <w:bCs w:val="false"/>
                <w:color w:val="000000"/>
                <w:sz w:val="20"/>
                <w:szCs w:val="20"/>
              </w:rPr>
              <w:t xml:space="preserve">P7 — Backend API</w:t>
            </w:r>
          </w:p>
        </w:tc>
        <w:tc>
          <w:tcPr>
            <w:tcW w:type="dxa" w:w="5650"/>
            <w:tcMar>
              <w:top w:type="dxa" w:w="80"/>
              <w:left w:type="dxa" w:w="100"/>
              <w:bottom w:type="dxa" w:w="80"/>
              <w:right w:type="dxa" w:w="100"/>
            </w:tcMar>
          </w:tcPr>
          <w:p>
            <w:r>
              <w:rPr>
                <w:b w:val="false"/>
                <w:bCs w:val="false"/>
                <w:color w:val="000000"/>
                <w:sz w:val="20"/>
                <w:szCs w:val="20"/>
              </w:rPr>
              <w:t xml:space="preserve">FastAPI endpoints for all of the above, run orchestration, async job queue</w:t>
            </w:r>
          </w:p>
        </w:tc>
        <w:tc>
          <w:tcPr>
            <w:tcW w:type="dxa" w:w="1100"/>
            <w:tcMar>
              <w:top w:type="dxa" w:w="80"/>
              <w:left w:type="dxa" w:w="100"/>
              <w:bottom w:type="dxa" w:w="80"/>
              <w:right w:type="dxa" w:w="100"/>
            </w:tcMar>
          </w:tcPr>
          <w:p>
            <w:r>
              <w:rPr>
                <w:b w:val="false"/>
                <w:bCs w:val="false"/>
                <w:color w:val="000000"/>
                <w:sz w:val="20"/>
                <w:szCs w:val="20"/>
              </w:rPr>
              <w:t xml:space="preserve">4–5 days</w:t>
            </w:r>
          </w:p>
        </w:tc>
      </w:tr>
      <w:tr>
        <w:tc>
          <w:tcPr>
            <w:tcW w:type="dxa" w:w="2600"/>
            <w:tcMar>
              <w:top w:type="dxa" w:w="80"/>
              <w:left w:type="dxa" w:w="100"/>
              <w:bottom w:type="dxa" w:w="80"/>
              <w:right w:type="dxa" w:w="100"/>
            </w:tcMar>
          </w:tcPr>
          <w:p>
            <w:r>
              <w:rPr>
                <w:b w:val="false"/>
                <w:bCs w:val="false"/>
                <w:color w:val="000000"/>
                <w:sz w:val="20"/>
                <w:szCs w:val="20"/>
              </w:rPr>
              <w:t xml:space="preserve">P8 — Frontend (Stitch/UI UX Pro Max AgentKit)</w:t>
            </w:r>
          </w:p>
        </w:tc>
        <w:tc>
          <w:tcPr>
            <w:tcW w:type="dxa" w:w="5650"/>
            <w:tcMar>
              <w:top w:type="dxa" w:w="80"/>
              <w:left w:type="dxa" w:w="100"/>
              <w:bottom w:type="dxa" w:w="80"/>
              <w:right w:type="dxa" w:w="100"/>
            </w:tcMar>
          </w:tcPr>
          <w:p>
            <w:r>
              <w:rPr>
                <w:b w:val="false"/>
                <w:bCs w:val="false"/>
                <w:color w:val="000000"/>
                <w:sz w:val="20"/>
                <w:szCs w:val="20"/>
              </w:rPr>
              <w:t xml:space="preserve">Model/dataset selection, run monitor, results dashboard, capability radar, drill-down, export</w:t>
            </w:r>
          </w:p>
        </w:tc>
        <w:tc>
          <w:tcPr>
            <w:tcW w:type="dxa" w:w="1100"/>
            <w:tcMar>
              <w:top w:type="dxa" w:w="80"/>
              <w:left w:type="dxa" w:w="100"/>
              <w:bottom w:type="dxa" w:w="80"/>
              <w:right w:type="dxa" w:w="100"/>
            </w:tcMar>
          </w:tcPr>
          <w:p>
            <w:r>
              <w:rPr>
                <w:b w:val="false"/>
                <w:bCs w:val="false"/>
                <w:color w:val="000000"/>
                <w:sz w:val="20"/>
                <w:szCs w:val="20"/>
              </w:rPr>
              <w:t xml:space="preserve">1–1.5 weeks</w:t>
            </w:r>
          </w:p>
        </w:tc>
      </w:tr>
      <w:tr>
        <w:tc>
          <w:tcPr>
            <w:tcW w:type="dxa" w:w="2600"/>
            <w:tcMar>
              <w:top w:type="dxa" w:w="80"/>
              <w:left w:type="dxa" w:w="100"/>
              <w:bottom w:type="dxa" w:w="80"/>
              <w:right w:type="dxa" w:w="100"/>
            </w:tcMar>
          </w:tcPr>
          <w:p>
            <w:r>
              <w:rPr>
                <w:b w:val="false"/>
                <w:bCs w:val="false"/>
                <w:color w:val="000000"/>
                <w:sz w:val="20"/>
                <w:szCs w:val="20"/>
              </w:rPr>
              <w:t xml:space="preserve">P9 — Integration &amp; Testing</w:t>
            </w:r>
          </w:p>
        </w:tc>
        <w:tc>
          <w:tcPr>
            <w:tcW w:type="dxa" w:w="5650"/>
            <w:tcMar>
              <w:top w:type="dxa" w:w="80"/>
              <w:left w:type="dxa" w:w="100"/>
              <w:bottom w:type="dxa" w:w="80"/>
              <w:right w:type="dxa" w:w="100"/>
            </w:tcMar>
          </w:tcPr>
          <w:p>
            <w:r>
              <w:rPr>
                <w:b w:val="false"/>
                <w:bCs w:val="false"/>
                <w:color w:val="000000"/>
                <w:sz w:val="20"/>
                <w:szCs w:val="20"/>
              </w:rPr>
              <w:t xml:space="preserve">Frontend↔backend integration, unit + integration + a small end-to-end benchmark run</w:t>
            </w:r>
          </w:p>
        </w:tc>
        <w:tc>
          <w:tcPr>
            <w:tcW w:type="dxa" w:w="1100"/>
            <w:tcMar>
              <w:top w:type="dxa" w:w="80"/>
              <w:left w:type="dxa" w:w="100"/>
              <w:bottom w:type="dxa" w:w="80"/>
              <w:right w:type="dxa" w:w="100"/>
            </w:tcMar>
          </w:tcPr>
          <w:p>
            <w:r>
              <w:rPr>
                <w:b w:val="false"/>
                <w:bCs w:val="false"/>
                <w:color w:val="000000"/>
                <w:sz w:val="20"/>
                <w:szCs w:val="20"/>
              </w:rPr>
              <w:t xml:space="preserve">4–5 days</w:t>
            </w:r>
          </w:p>
        </w:tc>
      </w:tr>
      <w:tr>
        <w:tc>
          <w:tcPr>
            <w:tcW w:type="dxa" w:w="2600"/>
            <w:tcMar>
              <w:top w:type="dxa" w:w="80"/>
              <w:left w:type="dxa" w:w="100"/>
              <w:bottom w:type="dxa" w:w="80"/>
              <w:right w:type="dxa" w:w="100"/>
            </w:tcMar>
          </w:tcPr>
          <w:p>
            <w:r>
              <w:rPr>
                <w:b w:val="false"/>
                <w:bCs w:val="false"/>
                <w:color w:val="000000"/>
                <w:sz w:val="20"/>
                <w:szCs w:val="20"/>
              </w:rPr>
              <w:t xml:space="preserve">P10 — Deployment</w:t>
            </w:r>
          </w:p>
        </w:tc>
        <w:tc>
          <w:tcPr>
            <w:tcW w:type="dxa" w:w="5650"/>
            <w:tcMar>
              <w:top w:type="dxa" w:w="80"/>
              <w:left w:type="dxa" w:w="100"/>
              <w:bottom w:type="dxa" w:w="80"/>
              <w:right w:type="dxa" w:w="100"/>
            </w:tcMar>
          </w:tcPr>
          <w:p>
            <w:r>
              <w:rPr>
                <w:b w:val="false"/>
                <w:bCs w:val="false"/>
                <w:color w:val="000000"/>
                <w:sz w:val="20"/>
                <w:szCs w:val="20"/>
              </w:rPr>
              <w:t xml:space="preserve">Railway deployment of backend + frontend + managed free Postgres (Supabase/Neon)</w:t>
            </w:r>
          </w:p>
        </w:tc>
        <w:tc>
          <w:tcPr>
            <w:tcW w:type="dxa" w:w="1100"/>
            <w:tcMar>
              <w:top w:type="dxa" w:w="80"/>
              <w:left w:type="dxa" w:w="100"/>
              <w:bottom w:type="dxa" w:w="80"/>
              <w:right w:type="dxa" w:w="100"/>
            </w:tcMar>
          </w:tcPr>
          <w:p>
            <w:r>
              <w:rPr>
                <w:b w:val="false"/>
                <w:bCs w:val="false"/>
                <w:color w:val="000000"/>
                <w:sz w:val="20"/>
                <w:szCs w:val="20"/>
              </w:rPr>
              <w:t xml:space="preserve">2–3 days</w:t>
            </w:r>
          </w:p>
        </w:tc>
      </w:tr>
      <w:tr>
        <w:tc>
          <w:tcPr>
            <w:tcW w:type="dxa" w:w="2600"/>
            <w:tcMar>
              <w:top w:type="dxa" w:w="80"/>
              <w:left w:type="dxa" w:w="100"/>
              <w:bottom w:type="dxa" w:w="80"/>
              <w:right w:type="dxa" w:w="100"/>
            </w:tcMar>
          </w:tcPr>
          <w:p>
            <w:r>
              <w:rPr>
                <w:b w:val="false"/>
                <w:bCs w:val="false"/>
                <w:color w:val="000000"/>
                <w:sz w:val="20"/>
                <w:szCs w:val="20"/>
              </w:rPr>
              <w:t xml:space="preserve">P11 — Performance/Validation Run</w:t>
            </w:r>
          </w:p>
        </w:tc>
        <w:tc>
          <w:tcPr>
            <w:tcW w:type="dxa" w:w="5650"/>
            <w:tcMar>
              <w:top w:type="dxa" w:w="80"/>
              <w:left w:type="dxa" w:w="100"/>
              <w:bottom w:type="dxa" w:w="80"/>
              <w:right w:type="dxa" w:w="100"/>
            </w:tcMar>
          </w:tcPr>
          <w:p>
            <w:r>
              <w:rPr>
                <w:b w:val="false"/>
                <w:bCs w:val="false"/>
                <w:color w:val="000000"/>
                <w:sz w:val="20"/>
                <w:szCs w:val="20"/>
              </w:rPr>
              <w:t xml:space="preserve">Full benchmark across several free-tier models to validate the platform end-to-end and produce a sample report</w:t>
            </w:r>
          </w:p>
        </w:tc>
        <w:tc>
          <w:tcPr>
            <w:tcW w:type="dxa" w:w="1100"/>
            <w:tcMar>
              <w:top w:type="dxa" w:w="80"/>
              <w:left w:type="dxa" w:w="100"/>
              <w:bottom w:type="dxa" w:w="80"/>
              <w:right w:type="dxa" w:w="100"/>
            </w:tcMar>
          </w:tcPr>
          <w:p>
            <w:r>
              <w:rPr>
                <w:b w:val="false"/>
                <w:bCs w:val="false"/>
                <w:color w:val="000000"/>
                <w:sz w:val="20"/>
                <w:szCs w:val="20"/>
              </w:rPr>
              <w:t xml:space="preserve">2–3 days</w:t>
            </w:r>
          </w:p>
        </w:tc>
      </w:tr>
    </w:tbl>
    <w:p>
      <w:pPr>
        <w:pStyle w:val="Heading1"/>
        <w:spacing w:after="200" w:before="400"/>
      </w:pPr>
      <w:r>
        <w:rPr>
          <w:b/>
          <w:bCs/>
          <w:color w:val="1F3864"/>
        </w:rPr>
        <w:t xml:space="preserve">4. Environment &amp; Infrastructure Plan (Zero-Budget Constraint)</w:t>
      </w:r>
    </w:p>
    <w:p>
      <w:pPr>
        <w:spacing w:after="160"/>
        <w:jc w:val="both"/>
      </w:pPr>
      <w:r>
        <w:rPr>
          <w:sz w:val="22"/>
          <w:szCs w:val="22"/>
        </w:rPr>
        <w:t xml:space="preserve">All infrastructure choices are constrained to free tiers, consistent with the project having no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Need</w:t>
            </w:r>
          </w:p>
        </w:tc>
        <w:tc>
          <w:tcPr>
            <w:tcW w:type="dxa" w:w="6150"/>
            <w:shd w:fill="1F3864" w:val="clear"/>
            <w:tcMar>
              <w:top w:type="dxa" w:w="80"/>
              <w:left w:type="dxa" w:w="100"/>
              <w:bottom w:type="dxa" w:w="80"/>
              <w:right w:type="dxa" w:w="100"/>
            </w:tcMar>
          </w:tcPr>
          <w:p>
            <w:r>
              <w:rPr>
                <w:b/>
                <w:bCs/>
                <w:color w:val="FFFFFF"/>
                <w:sz w:val="20"/>
                <w:szCs w:val="20"/>
              </w:rPr>
              <w:t xml:space="preserve">Free Option(s)</w:t>
            </w:r>
          </w:p>
        </w:tc>
      </w:tr>
      <w:tr>
        <w:tc>
          <w:tcPr>
            <w:tcW w:type="dxa" w:w="3200"/>
            <w:tcMar>
              <w:top w:type="dxa" w:w="80"/>
              <w:left w:type="dxa" w:w="100"/>
              <w:bottom w:type="dxa" w:w="80"/>
              <w:right w:type="dxa" w:w="100"/>
            </w:tcMar>
          </w:tcPr>
          <w:p>
            <w:r>
              <w:rPr>
                <w:b w:val="false"/>
                <w:bCs w:val="false"/>
                <w:color w:val="000000"/>
                <w:sz w:val="20"/>
                <w:szCs w:val="20"/>
              </w:rPr>
              <w:t xml:space="preserve">App hosting (backend + frontend)</w:t>
            </w:r>
          </w:p>
        </w:tc>
        <w:tc>
          <w:tcPr>
            <w:tcW w:type="dxa" w:w="6150"/>
            <w:tcMar>
              <w:top w:type="dxa" w:w="80"/>
              <w:left w:type="dxa" w:w="100"/>
              <w:bottom w:type="dxa" w:w="80"/>
              <w:right w:type="dxa" w:w="100"/>
            </w:tcMar>
          </w:tcPr>
          <w:p>
            <w:r>
              <w:rPr>
                <w:b w:val="false"/>
                <w:bCs w:val="false"/>
                <w:color w:val="000000"/>
                <w:sz w:val="20"/>
                <w:szCs w:val="20"/>
              </w:rPr>
              <w:t xml:space="preserve">Railway free/hobby tier (primary target for deployment); alternatives: Render free web service, Fly.io free allowance</w:t>
            </w:r>
          </w:p>
        </w:tc>
      </w:tr>
      <w:tr>
        <w:tc>
          <w:tcPr>
            <w:tcW w:type="dxa" w:w="3200"/>
            <w:tcMar>
              <w:top w:type="dxa" w:w="80"/>
              <w:left w:type="dxa" w:w="100"/>
              <w:bottom w:type="dxa" w:w="80"/>
              <w:right w:type="dxa" w:w="100"/>
            </w:tcMar>
          </w:tcPr>
          <w:p>
            <w:r>
              <w:rPr>
                <w:b w:val="false"/>
                <w:bCs w:val="false"/>
                <w:color w:val="000000"/>
                <w:sz w:val="20"/>
                <w:szCs w:val="20"/>
              </w:rPr>
              <w:t xml:space="preserve">Database</w:t>
            </w:r>
          </w:p>
        </w:tc>
        <w:tc>
          <w:tcPr>
            <w:tcW w:type="dxa" w:w="6150"/>
            <w:tcMar>
              <w:top w:type="dxa" w:w="80"/>
              <w:left w:type="dxa" w:w="100"/>
              <w:bottom w:type="dxa" w:w="80"/>
              <w:right w:type="dxa" w:w="100"/>
            </w:tcMar>
          </w:tcPr>
          <w:p>
            <w:r>
              <w:rPr>
                <w:b w:val="false"/>
                <w:bCs w:val="false"/>
                <w:color w:val="000000"/>
                <w:sz w:val="20"/>
                <w:szCs w:val="20"/>
              </w:rPr>
              <w:t xml:space="preserve">Supabase free Postgres, or Neon free Postgres; SQLite for local dev</w:t>
            </w:r>
          </w:p>
        </w:tc>
      </w:tr>
      <w:tr>
        <w:tc>
          <w:tcPr>
            <w:tcW w:type="dxa" w:w="3200"/>
            <w:tcMar>
              <w:top w:type="dxa" w:w="80"/>
              <w:left w:type="dxa" w:w="100"/>
              <w:bottom w:type="dxa" w:w="80"/>
              <w:right w:type="dxa" w:w="100"/>
            </w:tcMar>
          </w:tcPr>
          <w:p>
            <w:r>
              <w:rPr>
                <w:b w:val="false"/>
                <w:bCs w:val="false"/>
                <w:color w:val="000000"/>
                <w:sz w:val="20"/>
                <w:szCs w:val="20"/>
              </w:rPr>
              <w:t xml:space="preserve">LLM inference for models under test</w:t>
            </w:r>
          </w:p>
        </w:tc>
        <w:tc>
          <w:tcPr>
            <w:tcW w:type="dxa" w:w="6150"/>
            <w:tcMar>
              <w:top w:type="dxa" w:w="80"/>
              <w:left w:type="dxa" w:w="100"/>
              <w:bottom w:type="dxa" w:w="80"/>
              <w:right w:type="dxa" w:w="100"/>
            </w:tcMar>
          </w:tcPr>
          <w:p>
            <w:r>
              <w:rPr>
                <w:b w:val="false"/>
                <w:bCs w:val="false"/>
                <w:color w:val="000000"/>
                <w:sz w:val="20"/>
                <w:szCs w:val="20"/>
              </w:rPr>
              <w:t xml:space="preserve">OpenRouter free-tier models, Google AI Studio/Gemini free tier, NVIDIA NIM free API credits, Cloudflare Workers AI free allocation, Groq free tier for fast open-weight models</w:t>
            </w:r>
          </w:p>
        </w:tc>
      </w:tr>
      <w:tr>
        <w:tc>
          <w:tcPr>
            <w:tcW w:type="dxa" w:w="3200"/>
            <w:tcMar>
              <w:top w:type="dxa" w:w="80"/>
              <w:left w:type="dxa" w:w="100"/>
              <w:bottom w:type="dxa" w:w="80"/>
              <w:right w:type="dxa" w:w="100"/>
            </w:tcMar>
          </w:tcPr>
          <w:p>
            <w:r>
              <w:rPr>
                <w:b w:val="false"/>
                <w:bCs w:val="false"/>
                <w:color w:val="000000"/>
                <w:sz w:val="20"/>
                <w:szCs w:val="20"/>
              </w:rPr>
              <w:t xml:space="preserve">LLM-as-a-Judge model</w:t>
            </w:r>
          </w:p>
        </w:tc>
        <w:tc>
          <w:tcPr>
            <w:tcW w:type="dxa" w:w="6150"/>
            <w:tcMar>
              <w:top w:type="dxa" w:w="80"/>
              <w:left w:type="dxa" w:w="100"/>
              <w:bottom w:type="dxa" w:w="80"/>
              <w:right w:type="dxa" w:w="100"/>
            </w:tcMar>
          </w:tcPr>
          <w:p>
            <w:r>
              <w:rPr>
                <w:b w:val="false"/>
                <w:bCs w:val="false"/>
                <w:color w:val="000000"/>
                <w:sz w:val="20"/>
                <w:szCs w:val="20"/>
              </w:rPr>
              <w:t xml:space="preserve">A free-tier or low-cost model from the above providers, documented per run for reproducibility</w:t>
            </w:r>
          </w:p>
        </w:tc>
      </w:tr>
      <w:tr>
        <w:tc>
          <w:tcPr>
            <w:tcW w:type="dxa" w:w="3200"/>
            <w:tcMar>
              <w:top w:type="dxa" w:w="80"/>
              <w:left w:type="dxa" w:w="100"/>
              <w:bottom w:type="dxa" w:w="80"/>
              <w:right w:type="dxa" w:w="100"/>
            </w:tcMar>
          </w:tcPr>
          <w:p>
            <w:r>
              <w:rPr>
                <w:b w:val="false"/>
                <w:bCs w:val="false"/>
                <w:color w:val="000000"/>
                <w:sz w:val="20"/>
                <w:szCs w:val="20"/>
              </w:rPr>
              <w:t xml:space="preserve">Object/report storage</w:t>
            </w:r>
          </w:p>
        </w:tc>
        <w:tc>
          <w:tcPr>
            <w:tcW w:type="dxa" w:w="6150"/>
            <w:tcMar>
              <w:top w:type="dxa" w:w="80"/>
              <w:left w:type="dxa" w:w="100"/>
              <w:bottom w:type="dxa" w:w="80"/>
              <w:right w:type="dxa" w:w="100"/>
            </w:tcMar>
          </w:tcPr>
          <w:p>
            <w:r>
              <w:rPr>
                <w:b w:val="false"/>
                <w:bCs w:val="false"/>
                <w:color w:val="000000"/>
                <w:sz w:val="20"/>
                <w:szCs w:val="20"/>
              </w:rPr>
              <w:t xml:space="preserve">Supabase Storage free tier, or simply generated on-demand and streamed to the client</w:t>
            </w:r>
          </w:p>
        </w:tc>
      </w:tr>
      <w:tr>
        <w:tc>
          <w:tcPr>
            <w:tcW w:type="dxa" w:w="3200"/>
            <w:tcMar>
              <w:top w:type="dxa" w:w="80"/>
              <w:left w:type="dxa" w:w="100"/>
              <w:bottom w:type="dxa" w:w="80"/>
              <w:right w:type="dxa" w:w="100"/>
            </w:tcMar>
          </w:tcPr>
          <w:p>
            <w:r>
              <w:rPr>
                <w:b w:val="false"/>
                <w:bCs w:val="false"/>
                <w:color w:val="000000"/>
                <w:sz w:val="20"/>
                <w:szCs w:val="20"/>
              </w:rPr>
              <w:t xml:space="preserve">CI/CD</w:t>
            </w:r>
          </w:p>
        </w:tc>
        <w:tc>
          <w:tcPr>
            <w:tcW w:type="dxa" w:w="6150"/>
            <w:tcMar>
              <w:top w:type="dxa" w:w="80"/>
              <w:left w:type="dxa" w:w="100"/>
              <w:bottom w:type="dxa" w:w="80"/>
              <w:right w:type="dxa" w:w="100"/>
            </w:tcMar>
          </w:tcPr>
          <w:p>
            <w:r>
              <w:rPr>
                <w:b w:val="false"/>
                <w:bCs w:val="false"/>
                <w:color w:val="000000"/>
                <w:sz w:val="20"/>
                <w:szCs w:val="20"/>
              </w:rPr>
              <w:t xml:space="preserve">GitHub Actions free minutes for public/small private repos</w:t>
            </w:r>
          </w:p>
        </w:tc>
      </w:tr>
      <w:tr>
        <w:tc>
          <w:tcPr>
            <w:tcW w:type="dxa" w:w="3200"/>
            <w:tcMar>
              <w:top w:type="dxa" w:w="80"/>
              <w:left w:type="dxa" w:w="100"/>
              <w:bottom w:type="dxa" w:w="80"/>
              <w:right w:type="dxa" w:w="100"/>
            </w:tcMar>
          </w:tcPr>
          <w:p>
            <w:r>
              <w:rPr>
                <w:b w:val="false"/>
                <w:bCs w:val="false"/>
                <w:color w:val="000000"/>
                <w:sz w:val="20"/>
                <w:szCs w:val="20"/>
              </w:rPr>
              <w:t xml:space="preserve">Frontend prototyping</w:t>
            </w:r>
          </w:p>
        </w:tc>
        <w:tc>
          <w:tcPr>
            <w:tcW w:type="dxa" w:w="6150"/>
            <w:tcMar>
              <w:top w:type="dxa" w:w="80"/>
              <w:left w:type="dxa" w:w="100"/>
              <w:bottom w:type="dxa" w:w="80"/>
              <w:right w:type="dxa" w:w="100"/>
            </w:tcMar>
          </w:tcPr>
          <w:p>
            <w:r>
              <w:rPr>
                <w:b w:val="false"/>
                <w:bCs w:val="false"/>
                <w:color w:val="000000"/>
                <w:sz w:val="20"/>
                <w:szCs w:val="20"/>
              </w:rPr>
              <w:t xml:space="preserve">Stitch (Google) with the UI UX Pro Max AgentKit, connected to Codex, free/no-cost tier</w:t>
            </w:r>
          </w:p>
        </w:tc>
      </w:tr>
    </w:tbl>
    <w:p>
      <w:pPr>
        <w:spacing w:after="160"/>
        <w:jc w:val="both"/>
      </w:pPr>
      <w:r>
        <w:rPr>
          <w:sz w:val="22"/>
          <w:szCs w:val="22"/>
        </w:rPr>
        <w:t xml:space="preserve">Because free-tier providers rotate model availability and rate limits change, the LLM Integration Layer must treat the provider list as configuration, not hard-coded logic, and must gracefully degrade (skip/flag) a model whose free quota is exhausted mid-run.</w:t>
      </w:r>
    </w:p>
    <w:p>
      <w:pPr>
        <w:pStyle w:val="Heading1"/>
        <w:spacing w:after="200" w:before="400"/>
      </w:pPr>
      <w:r>
        <w:rPr>
          <w:b/>
          <w:bCs/>
          <w:color w:val="1F3864"/>
        </w:rPr>
        <w:t xml:space="preserve">5. Risk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50"/>
      </w:tblGrid>
      <w:tr>
        <w:trPr>
          <w:tblHeader/>
        </w:trPr>
        <w:tc>
          <w:tcPr>
            <w:tcW w:type="dxa" w:w="2700"/>
            <w:shd w:fill="1F3864" w:val="clear"/>
            <w:tcMar>
              <w:top w:type="dxa" w:w="80"/>
              <w:left w:type="dxa" w:w="100"/>
              <w:bottom w:type="dxa" w:w="80"/>
              <w:right w:type="dxa" w:w="100"/>
            </w:tcMar>
          </w:tcPr>
          <w:p>
            <w:r>
              <w:rPr>
                <w:b/>
                <w:bCs/>
                <w:color w:val="FFFFFF"/>
                <w:sz w:val="20"/>
                <w:szCs w:val="20"/>
              </w:rPr>
              <w:t xml:space="preserve">Risk</w:t>
            </w:r>
          </w:p>
        </w:tc>
        <w:tc>
          <w:tcPr>
            <w:tcW w:type="dxa" w:w="1800"/>
            <w:shd w:fill="1F3864" w:val="clear"/>
            <w:tcMar>
              <w:top w:type="dxa" w:w="80"/>
              <w:left w:type="dxa" w:w="100"/>
              <w:bottom w:type="dxa" w:w="80"/>
              <w:right w:type="dxa" w:w="100"/>
            </w:tcMar>
          </w:tcPr>
          <w:p>
            <w:r>
              <w:rPr>
                <w:b/>
                <w:bCs/>
                <w:color w:val="FFFFFF"/>
                <w:sz w:val="20"/>
                <w:szCs w:val="20"/>
              </w:rPr>
              <w:t xml:space="preserve">Impact</w:t>
            </w:r>
          </w:p>
        </w:tc>
        <w:tc>
          <w:tcPr>
            <w:tcW w:type="dxa" w:w="4850"/>
            <w:shd w:fill="1F3864" w:val="clear"/>
            <w:tcMar>
              <w:top w:type="dxa" w:w="80"/>
              <w:left w:type="dxa" w:w="100"/>
              <w:bottom w:type="dxa" w:w="80"/>
              <w:right w:type="dxa" w:w="100"/>
            </w:tcMar>
          </w:tcPr>
          <w:p>
            <w:r>
              <w:rPr>
                <w:b/>
                <w:bCs/>
                <w:color w:val="FFFFFF"/>
                <w:sz w:val="20"/>
                <w:szCs w:val="20"/>
              </w:rPr>
              <w:t xml:space="preserve">Mitigation</w:t>
            </w:r>
          </w:p>
        </w:tc>
      </w:tr>
      <w:tr>
        <w:tc>
          <w:tcPr>
            <w:tcW w:type="dxa" w:w="2700"/>
            <w:tcMar>
              <w:top w:type="dxa" w:w="80"/>
              <w:left w:type="dxa" w:w="100"/>
              <w:bottom w:type="dxa" w:w="80"/>
              <w:right w:type="dxa" w:w="100"/>
            </w:tcMar>
          </w:tcPr>
          <w:p>
            <w:r>
              <w:rPr>
                <w:b w:val="false"/>
                <w:bCs w:val="false"/>
                <w:color w:val="000000"/>
                <w:sz w:val="20"/>
                <w:szCs w:val="20"/>
              </w:rPr>
              <w:t xml:space="preserve">Free-tier API rate limits / quota exhaustion mid-benchmark</w:t>
            </w:r>
          </w:p>
        </w:tc>
        <w:tc>
          <w:tcPr>
            <w:tcW w:type="dxa" w:w="1800"/>
            <w:tcMar>
              <w:top w:type="dxa" w:w="80"/>
              <w:left w:type="dxa" w:w="100"/>
              <w:bottom w:type="dxa" w:w="80"/>
              <w:right w:type="dxa" w:w="100"/>
            </w:tcMar>
          </w:tcPr>
          <w:p>
            <w:r>
              <w:rPr>
                <w:b w:val="false"/>
                <w:bCs w:val="false"/>
                <w:color w:val="000000"/>
                <w:sz w:val="20"/>
                <w:szCs w:val="20"/>
              </w:rPr>
              <w:t xml:space="preserve">Partial/incomplete results</w:t>
            </w:r>
          </w:p>
        </w:tc>
        <w:tc>
          <w:tcPr>
            <w:tcW w:type="dxa" w:w="4850"/>
            <w:tcMar>
              <w:top w:type="dxa" w:w="80"/>
              <w:left w:type="dxa" w:w="100"/>
              <w:bottom w:type="dxa" w:w="80"/>
              <w:right w:type="dxa" w:w="100"/>
            </w:tcMar>
          </w:tcPr>
          <w:p>
            <w:r>
              <w:rPr>
                <w:b w:val="false"/>
                <w:bCs w:val="false"/>
                <w:color w:val="000000"/>
                <w:sz w:val="20"/>
                <w:szCs w:val="20"/>
              </w:rPr>
              <w:t xml:space="preserve">Async queue with retry &amp; backoff; mark failed cells instead of aborting run (FR-3.3); cache baseline scores instead of re-computing them every run</w:t>
            </w:r>
          </w:p>
        </w:tc>
      </w:tr>
      <w:tr>
        <w:tc>
          <w:tcPr>
            <w:tcW w:type="dxa" w:w="2700"/>
            <w:tcMar>
              <w:top w:type="dxa" w:w="80"/>
              <w:left w:type="dxa" w:w="100"/>
              <w:bottom w:type="dxa" w:w="80"/>
              <w:right w:type="dxa" w:w="100"/>
            </w:tcMar>
          </w:tcPr>
          <w:p>
            <w:r>
              <w:rPr>
                <w:b w:val="false"/>
                <w:bCs w:val="false"/>
                <w:color w:val="000000"/>
                <w:sz w:val="20"/>
                <w:szCs w:val="20"/>
              </w:rPr>
              <w:t xml:space="preserve">LLM-as-a-Judge bias skews quality/hallucination scores</w:t>
            </w:r>
          </w:p>
        </w:tc>
        <w:tc>
          <w:tcPr>
            <w:tcW w:type="dxa" w:w="1800"/>
            <w:tcMar>
              <w:top w:type="dxa" w:w="80"/>
              <w:left w:type="dxa" w:w="100"/>
              <w:bottom w:type="dxa" w:w="80"/>
              <w:right w:type="dxa" w:w="100"/>
            </w:tcMar>
          </w:tcPr>
          <w:p>
            <w:r>
              <w:rPr>
                <w:b w:val="false"/>
                <w:bCs w:val="false"/>
                <w:color w:val="000000"/>
                <w:sz w:val="20"/>
                <w:szCs w:val="20"/>
              </w:rPr>
              <w:t xml:space="preserve">Inaccurate comparative claims</w:t>
            </w:r>
          </w:p>
        </w:tc>
        <w:tc>
          <w:tcPr>
            <w:tcW w:type="dxa" w:w="4850"/>
            <w:tcMar>
              <w:top w:type="dxa" w:w="80"/>
              <w:left w:type="dxa" w:w="100"/>
              <w:bottom w:type="dxa" w:w="80"/>
              <w:right w:type="dxa" w:w="100"/>
            </w:tcMar>
          </w:tcPr>
          <w:p>
            <w:r>
              <w:rPr>
                <w:b w:val="false"/>
                <w:bCs w:val="false"/>
                <w:color w:val="000000"/>
                <w:sz w:val="20"/>
                <w:szCs w:val="20"/>
              </w:rPr>
              <w:t xml:space="preserve">Use multiple judge models where feasible; document judge identity and rubric with every score; allow reference-based scoring to override judge scoring when a ground truth exists</w:t>
            </w:r>
          </w:p>
        </w:tc>
      </w:tr>
      <w:tr>
        <w:tc>
          <w:tcPr>
            <w:tcW w:type="dxa" w:w="2700"/>
            <w:tcMar>
              <w:top w:type="dxa" w:w="80"/>
              <w:left w:type="dxa" w:w="100"/>
              <w:bottom w:type="dxa" w:w="80"/>
              <w:right w:type="dxa" w:w="100"/>
            </w:tcMar>
          </w:tcPr>
          <w:p>
            <w:r>
              <w:rPr>
                <w:b w:val="false"/>
                <w:bCs w:val="false"/>
                <w:color w:val="000000"/>
                <w:sz w:val="20"/>
                <w:szCs w:val="20"/>
              </w:rPr>
              <w:t xml:space="preserve">"Industry standard" baseline becomes stale as new models ship</w:t>
            </w:r>
          </w:p>
        </w:tc>
        <w:tc>
          <w:tcPr>
            <w:tcW w:type="dxa" w:w="1800"/>
            <w:tcMar>
              <w:top w:type="dxa" w:w="80"/>
              <w:left w:type="dxa" w:w="100"/>
              <w:bottom w:type="dxa" w:w="80"/>
              <w:right w:type="dxa" w:w="100"/>
            </w:tcMar>
          </w:tcPr>
          <w:p>
            <w:r>
              <w:rPr>
                <w:b w:val="false"/>
                <w:bCs w:val="false"/>
                <w:color w:val="000000"/>
                <w:sz w:val="20"/>
                <w:szCs w:val="20"/>
              </w:rPr>
              <w:t xml:space="preserve">Misleading positioning</w:t>
            </w:r>
          </w:p>
        </w:tc>
        <w:tc>
          <w:tcPr>
            <w:tcW w:type="dxa" w:w="4850"/>
            <w:tcMar>
              <w:top w:type="dxa" w:w="80"/>
              <w:left w:type="dxa" w:w="100"/>
              <w:bottom w:type="dxa" w:w="80"/>
              <w:right w:type="dxa" w:w="100"/>
            </w:tcMar>
          </w:tcPr>
          <w:p>
            <w:r>
              <w:rPr>
                <w:b w:val="false"/>
                <w:bCs w:val="false"/>
                <w:color w:val="000000"/>
                <w:sz w:val="20"/>
                <w:szCs w:val="20"/>
              </w:rPr>
              <w:t xml:space="preserve">Version and date-stamp every baseline score; schedule periodic baseline refresh; surface the baseline's age in the UI</w:t>
            </w:r>
          </w:p>
        </w:tc>
      </w:tr>
      <w:tr>
        <w:tc>
          <w:tcPr>
            <w:tcW w:type="dxa" w:w="2700"/>
            <w:tcMar>
              <w:top w:type="dxa" w:w="80"/>
              <w:left w:type="dxa" w:w="100"/>
              <w:bottom w:type="dxa" w:w="80"/>
              <w:right w:type="dxa" w:w="100"/>
            </w:tcMar>
          </w:tcPr>
          <w:p>
            <w:r>
              <w:rPr>
                <w:b w:val="false"/>
                <w:bCs w:val="false"/>
                <w:color w:val="000000"/>
                <w:sz w:val="20"/>
                <w:szCs w:val="20"/>
              </w:rPr>
              <w:t xml:space="preserve">Free hosting/database limits (storage, cold starts, sleep) affect availability</w:t>
            </w:r>
          </w:p>
        </w:tc>
        <w:tc>
          <w:tcPr>
            <w:tcW w:type="dxa" w:w="1800"/>
            <w:tcMar>
              <w:top w:type="dxa" w:w="80"/>
              <w:left w:type="dxa" w:w="100"/>
              <w:bottom w:type="dxa" w:w="80"/>
              <w:right w:type="dxa" w:w="100"/>
            </w:tcMar>
          </w:tcPr>
          <w:p>
            <w:r>
              <w:rPr>
                <w:b w:val="false"/>
                <w:bCs w:val="false"/>
                <w:color w:val="000000"/>
                <w:sz w:val="20"/>
                <w:szCs w:val="20"/>
              </w:rPr>
              <w:t xml:space="preserve">Downtime, slow first request</w:t>
            </w:r>
          </w:p>
        </w:tc>
        <w:tc>
          <w:tcPr>
            <w:tcW w:type="dxa" w:w="4850"/>
            <w:tcMar>
              <w:top w:type="dxa" w:w="80"/>
              <w:left w:type="dxa" w:w="100"/>
              <w:bottom w:type="dxa" w:w="80"/>
              <w:right w:type="dxa" w:w="100"/>
            </w:tcMar>
          </w:tcPr>
          <w:p>
            <w:r>
              <w:rPr>
                <w:b w:val="false"/>
                <w:bCs w:val="false"/>
                <w:color w:val="000000"/>
                <w:sz w:val="20"/>
                <w:szCs w:val="20"/>
              </w:rPr>
              <w:t xml:space="preserve">Keep the dataset/result footprint small; use a lightweight backend framework; document expected cold-start behavior</w:t>
            </w:r>
          </w:p>
        </w:tc>
      </w:tr>
      <w:tr>
        <w:tc>
          <w:tcPr>
            <w:tcW w:type="dxa" w:w="2700"/>
            <w:tcMar>
              <w:top w:type="dxa" w:w="80"/>
              <w:left w:type="dxa" w:w="100"/>
              <w:bottom w:type="dxa" w:w="80"/>
              <w:right w:type="dxa" w:w="100"/>
            </w:tcMar>
          </w:tcPr>
          <w:p>
            <w:r>
              <w:rPr>
                <w:b w:val="false"/>
                <w:bCs w:val="false"/>
                <w:color w:val="000000"/>
                <w:sz w:val="20"/>
                <w:szCs w:val="20"/>
              </w:rPr>
              <w:t xml:space="preserve">Two-person team, academic deadline pressure</w:t>
            </w:r>
          </w:p>
        </w:tc>
        <w:tc>
          <w:tcPr>
            <w:tcW w:type="dxa" w:w="1800"/>
            <w:tcMar>
              <w:top w:type="dxa" w:w="80"/>
              <w:left w:type="dxa" w:w="100"/>
              <w:bottom w:type="dxa" w:w="80"/>
              <w:right w:type="dxa" w:w="100"/>
            </w:tcMar>
          </w:tcPr>
          <w:p>
            <w:r>
              <w:rPr>
                <w:b w:val="false"/>
                <w:bCs w:val="false"/>
                <w:color w:val="000000"/>
                <w:sz w:val="20"/>
                <w:szCs w:val="20"/>
              </w:rPr>
              <w:t xml:space="preserve">Schedule slip</w:t>
            </w:r>
          </w:p>
        </w:tc>
        <w:tc>
          <w:tcPr>
            <w:tcW w:type="dxa" w:w="4850"/>
            <w:tcMar>
              <w:top w:type="dxa" w:w="80"/>
              <w:left w:type="dxa" w:w="100"/>
              <w:bottom w:type="dxa" w:w="80"/>
              <w:right w:type="dxa" w:w="100"/>
            </w:tcMar>
          </w:tcPr>
          <w:p>
            <w:r>
              <w:rPr>
                <w:b w:val="false"/>
                <w:bCs w:val="false"/>
                <w:color w:val="000000"/>
                <w:sz w:val="20"/>
                <w:szCs w:val="20"/>
              </w:rPr>
              <w:t xml:space="preserve">Strict bottom-up phase order so a usable core exists even if later phases (e.g., polished UI) run late</w:t>
            </w:r>
          </w:p>
        </w:tc>
      </w:tr>
      <w:tr>
        <w:tc>
          <w:tcPr>
            <w:tcW w:type="dxa" w:w="2700"/>
            <w:tcMar>
              <w:top w:type="dxa" w:w="80"/>
              <w:left w:type="dxa" w:w="100"/>
              <w:bottom w:type="dxa" w:w="80"/>
              <w:right w:type="dxa" w:w="100"/>
            </w:tcMar>
          </w:tcPr>
          <w:p>
            <w:r>
              <w:rPr>
                <w:b w:val="false"/>
                <w:bCs w:val="false"/>
                <w:color w:val="000000"/>
                <w:sz w:val="20"/>
                <w:szCs w:val="20"/>
              </w:rPr>
              <w:t xml:space="preserve">Open-source repos referenced for design ideas may have incompatible licenses</w:t>
            </w:r>
          </w:p>
        </w:tc>
        <w:tc>
          <w:tcPr>
            <w:tcW w:type="dxa" w:w="1800"/>
            <w:tcMar>
              <w:top w:type="dxa" w:w="80"/>
              <w:left w:type="dxa" w:w="100"/>
              <w:bottom w:type="dxa" w:w="80"/>
              <w:right w:type="dxa" w:w="100"/>
            </w:tcMar>
          </w:tcPr>
          <w:p>
            <w:r>
              <w:rPr>
                <w:b w:val="false"/>
                <w:bCs w:val="false"/>
                <w:color w:val="000000"/>
                <w:sz w:val="20"/>
                <w:szCs w:val="20"/>
              </w:rPr>
              <w:t xml:space="preserve">Legal/academic-integrity risk if code is copied</w:t>
            </w:r>
          </w:p>
        </w:tc>
        <w:tc>
          <w:tcPr>
            <w:tcW w:type="dxa" w:w="4850"/>
            <w:tcMar>
              <w:top w:type="dxa" w:w="80"/>
              <w:left w:type="dxa" w:w="100"/>
              <w:bottom w:type="dxa" w:w="80"/>
              <w:right w:type="dxa" w:w="100"/>
            </w:tcMar>
          </w:tcPr>
          <w:p>
            <w:r>
              <w:rPr>
                <w:b w:val="false"/>
                <w:bCs w:val="false"/>
                <w:color w:val="000000"/>
                <w:sz w:val="20"/>
                <w:szCs w:val="20"/>
              </w:rPr>
              <w:t xml:space="preserve">Treat cloned reference repos as read-only inspiration in a clearly separated /reference folder; do not copy code verbatim into the shipped project; cite anything adapted</w:t>
            </w:r>
          </w:p>
        </w:tc>
      </w:tr>
    </w:tbl>
    <w:p>
      <w:pPr>
        <w:pStyle w:val="Heading1"/>
        <w:spacing w:after="200" w:before="400"/>
      </w:pPr>
      <w:r>
        <w:rPr>
          <w:b/>
          <w:bCs/>
          <w:color w:val="1F3864"/>
        </w:rPr>
        <w:t xml:space="preserve">6. Quality Assurance &amp; Testing Strategy</w:t>
      </w:r>
    </w:p>
    <w:p>
      <w:pPr>
        <w:pStyle w:val="ListParagraph"/>
        <w:numPr>
          <w:ilvl w:val="0"/>
          <w:numId w:val="2"/>
        </w:numPr>
        <w:spacing w:after="80"/>
      </w:pPr>
      <w:r>
        <w:rPr>
          <w:sz w:val="22"/>
          <w:szCs w:val="22"/>
        </w:rPr>
        <w:t xml:space="preserve">Unit tests per evaluation metric (accuracy scorer, hallucination scorer, tier classifier) with fixed synthetic inputs and expected outputs.</w:t>
      </w:r>
    </w:p>
    <w:p>
      <w:pPr>
        <w:pStyle w:val="ListParagraph"/>
        <w:numPr>
          <w:ilvl w:val="0"/>
          <w:numId w:val="2"/>
        </w:numPr>
        <w:spacing w:after="80"/>
      </w:pPr>
      <w:r>
        <w:rPr>
          <w:sz w:val="22"/>
          <w:szCs w:val="22"/>
        </w:rPr>
        <w:t xml:space="preserve">Integration tests for a full mini benchmark run against a mocked provider adapter.</w:t>
      </w:r>
    </w:p>
    <w:p>
      <w:pPr>
        <w:pStyle w:val="ListParagraph"/>
        <w:numPr>
          <w:ilvl w:val="0"/>
          <w:numId w:val="2"/>
        </w:numPr>
        <w:spacing w:after="80"/>
      </w:pPr>
      <w:r>
        <w:rPr>
          <w:sz w:val="22"/>
          <w:szCs w:val="22"/>
        </w:rPr>
        <w:t xml:space="preserve">Contract tests for each provider adapter against the common interface.</w:t>
      </w:r>
    </w:p>
    <w:p>
      <w:pPr>
        <w:pStyle w:val="ListParagraph"/>
        <w:numPr>
          <w:ilvl w:val="0"/>
          <w:numId w:val="2"/>
        </w:numPr>
        <w:spacing w:after="80"/>
      </w:pPr>
      <w:r>
        <w:rPr>
          <w:sz w:val="22"/>
          <w:szCs w:val="22"/>
        </w:rPr>
        <w:t xml:space="preserve">Manual exploratory testing of the dashboard/report export before each phase demo.</w:t>
      </w:r>
    </w:p>
    <w:p>
      <w:pPr>
        <w:pStyle w:val="ListParagraph"/>
        <w:numPr>
          <w:ilvl w:val="0"/>
          <w:numId w:val="2"/>
        </w:numPr>
        <w:spacing w:after="80"/>
      </w:pPr>
      <w:r>
        <w:rPr>
          <w:sz w:val="22"/>
          <w:szCs w:val="22"/>
        </w:rPr>
        <w:t xml:space="preserve">A final validation run comparing at least 3 free-tier models across all capability categories, used as the report shown in the PRD success metrics.</w:t>
      </w:r>
    </w:p>
    <w:p>
      <w:pPr>
        <w:pStyle w:val="Heading1"/>
        <w:spacing w:after="200" w:before="400"/>
      </w:pPr>
      <w:r>
        <w:rPr>
          <w:b/>
          <w:bCs/>
          <w:color w:val="1F3864"/>
        </w:rPr>
        <w:t xml:space="preserve">7. Documentation Plan</w:t>
      </w:r>
    </w:p>
    <w:p>
      <w:pPr>
        <w:spacing w:after="160"/>
        <w:jc w:val="both"/>
      </w:pPr>
      <w:r>
        <w:rPr>
          <w:sz w:val="22"/>
          <w:szCs w:val="22"/>
        </w:rPr>
        <w:t xml:space="preserve">This SDP is one of five baseline documents (URS, SRS, SDP, SAD, PRD) produced before implementation begins, per the requested process. Each subsequent phase updates the SAD if architectural decisions change, and the PRD if scope/priorities change; the SRS is the frozen contract for functional scope for this iteration.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SDP — LLM Evaluation &amp; Benchmarking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2026-09-06T18:13:17.314Z</dcterms:created>
  <dcterms:modified xsi:type="dcterms:W3CDTF">2026-09-06T18:13:17.314Z</dcterms:modified>
</cp:coreProperties>
</file>

<file path=docProps/custom.xml><?xml version="1.0" encoding="utf-8"?>
<Properties xmlns="http://schemas.openxmlformats.org/officeDocument/2006/custom-properties" xmlns:vt="http://schemas.openxmlformats.org/officeDocument/2006/docPropsVTypes"/>
</file>