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LLM EVALUATION &amp; BENCHMARKING PLATFORM</w:t>
      </w:r>
    </w:p>
    <w:p>
      <w:pPr>
        <w:spacing w:before="400"/>
        <w:jc w:val="center"/>
      </w:pPr>
      <w:r>
        <w:rPr>
          <w:b/>
          <w:bCs/>
          <w:color w:val="1F3864"/>
          <w:sz w:val="56"/>
          <w:szCs w:val="56"/>
        </w:rPr>
        <w:t xml:space="preserve">Software Architecture Document</w:t>
      </w:r>
    </w:p>
    <w:p>
      <w:pPr>
        <w:spacing w:before="200"/>
        <w:jc w:val="center"/>
      </w:pPr>
      <w:r>
        <w:rPr>
          <w:i/>
          <w:iCs/>
          <w:color w:val="595959"/>
          <w:sz w:val="28"/>
          <w:szCs w:val="28"/>
        </w:rPr>
        <w:t xml:space="preserve">(SAD)</w:t>
      </w:r>
    </w:p>
    <w:p>
      <w:pPr>
        <w:spacing w:before="1200"/>
        <w:jc w:val="center"/>
      </w:pPr>
      <w:r>
        <w:rPr>
          <w:sz w:val="22"/>
          <w:szCs w:val="22"/>
        </w:rPr>
        <w:t xml:space="preserve">Document Version 1.0</w:t>
      </w:r>
    </w:p>
    <w:p>
      <w:pPr>
        <w:jc w:val="center"/>
      </w:pPr>
      <w:r>
        <w:rPr>
          <w:sz w:val="22"/>
          <w:szCs w:val="22"/>
        </w:rPr>
        <w:t xml:space="preserve">September 2026</w:t>
      </w:r>
    </w:p>
    <w:p>
      <w:pPr>
        <w:spacing w:before="1600"/>
        <w:jc w:val="center"/>
      </w:pPr>
      <w:r>
        <w:rPr>
          <w:b/>
          <w:bCs/>
          <w:sz w:val="22"/>
          <w:szCs w:val="22"/>
        </w:rPr>
        <w:t xml:space="preserve">Prepared by</w:t>
      </w:r>
    </w:p>
    <w:p>
      <w:pPr>
        <w:jc w:val="center"/>
      </w:pPr>
      <w:r>
        <w:rPr>
          <w:sz w:val="22"/>
          <w:szCs w:val="22"/>
        </w:rPr>
        <w:t xml:space="preserve">Monish D — 24BDS1033</w:t>
      </w:r>
    </w:p>
    <w:p>
      <w:pPr>
        <w:jc w:val="center"/>
      </w:pPr>
      <w:r>
        <w:rPr>
          <w:sz w:val="22"/>
          <w:szCs w:val="22"/>
        </w:rPr>
        <w:t xml:space="preserve">Soaham S — 24BDS1021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Project: LLM Evaluation and Benchmarking Platform</w:t>
      </w:r>
    </w:p>
    <w:p>
      <w:pPr>
        <w:jc w:val="center"/>
      </w:pPr>
      <w:r>
        <w:rPr>
          <w:color w:val="595959"/>
          <w:sz w:val="20"/>
          <w:szCs w:val="20"/>
        </w:rPr>
        <w:t xml:space="preserve">Course: Software Engineering — Digital Assignment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1.1 Purpose</w:t>
      </w:r>
    </w:p>
    <w:p>
      <w:pPr>
        <w:spacing w:after="160"/>
        <w:jc w:val="both"/>
      </w:pPr>
      <w:r>
        <w:rPr>
          <w:sz w:val="22"/>
          <w:szCs w:val="22"/>
        </w:rPr>
        <w:t xml:space="preserve">This Software Architecture Document (SAD) describes the structural design of the LLM Evaluation and Benchmarking Platform: its components, their responsibilities, the data flow between them, technology choices, and the deployment topology, all under a zero-cost infrastructure constraint. It elaborates the architecture summarized in the source project report into concrete module boundaries, particularly for the platform's differentiating capability — comparing evaluated models against industry-standard baselines and profiling per-category strengths/weaknesses.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1.2 Architectural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Modularity: provider adapters, evaluation metrics, and the comparison engine must be independently replaceable.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Extensibility: new providers, datasets, capability categories, or metrics must not require core rewrites.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Fault isolation: one model/provider failure must not corrupt or halt a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Reproducibility: every run's configuration and every baseline score must be versioned and timestamped.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Zero-cost operability: every component must have a free-tier deployment path.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Architectural Style</w:t>
      </w:r>
    </w:p>
    <w:p>
      <w:pPr>
        <w:spacing w:after="160"/>
        <w:jc w:val="both"/>
      </w:pPr>
      <w:r>
        <w:rPr>
          <w:sz w:val="22"/>
          <w:szCs w:val="22"/>
        </w:rPr>
        <w:t xml:space="preserve">The system uses a layered, modular-monolith architecture for the backend (simpler to deploy for free on Railway than a microservices topology) with clear internal module boundaries that mirror what would be separate services if the project later scales: LLM Integration Layer, Evaluation Engine, Industry Comparison Engine, Benchmark Manager, and Reporting Layer, all behind a single FastAPI application, backed by PostgreSQL, with a decoupled React frontend.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Component View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3.1 Frontend (React, generated via Stitch / UI UX Pro Max AgentKit)</w:t>
      </w:r>
    </w:p>
    <w:p>
      <w:pPr>
        <w:spacing w:after="160"/>
        <w:jc w:val="both"/>
      </w:pPr>
      <w:r>
        <w:rPr>
          <w:sz w:val="22"/>
          <w:szCs w:val="22"/>
        </w:rPr>
        <w:t xml:space="preserve">Provides model/dataset selection, run configuration, live progress, the comparative dashboard, capability radar visualizations, response drill-down, and report export. Communicates with the backend exclusively over REST (+ a polling or WebSocket channel for run progress). Holds no API keys and no evaluation logic.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3.2 Backend API (FastAPI)</w:t>
      </w:r>
    </w:p>
    <w:p>
      <w:pPr>
        <w:spacing w:after="160"/>
        <w:jc w:val="both"/>
      </w:pPr>
      <w:r>
        <w:rPr>
          <w:sz w:val="22"/>
          <w:szCs w:val="22"/>
        </w:rPr>
        <w:t xml:space="preserve">Exposes REST endpoints for provider/model management, dataset management, run orchestration, results retrieval, and report generation. Performs request validation, authentication of API-key storage, and delegates execution to the Benchmark Manager.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3.3 Benchmark Manager</w:t>
      </w:r>
    </w:p>
    <w:p>
      <w:pPr>
        <w:spacing w:after="160"/>
        <w:jc w:val="both"/>
      </w:pPr>
      <w:r>
        <w:rPr>
          <w:sz w:val="22"/>
          <w:szCs w:val="22"/>
        </w:rPr>
        <w:t xml:space="preserve">Coordinates a run: resolves the dataset, the selected models, and the shared parameters into a task matrix (tasks × models), enqueues each cell as an asynchronous unit of work, tracks per-cell status (pending/running/succeeded/failed), and marks the run complete only once all cells resolve (success or terminal failure).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3.4 LLM Integration Layer (Adapters)</w:t>
      </w:r>
    </w:p>
    <w:p>
      <w:pPr>
        <w:spacing w:after="160"/>
        <w:jc w:val="both"/>
      </w:pPr>
      <w:r>
        <w:rPr>
          <w:sz w:val="22"/>
          <w:szCs w:val="22"/>
        </w:rPr>
        <w:t xml:space="preserve">One adapter per provider (OpenRouter, Gemini, NVIDIA NIM, Cloudflare Workers AI, self-hosted/OpenAI-compatible endpoints) implementing a common interface: call(prompt, params) → {text, input_tokens, output_tokens, latency_ms, raw}. Adapters own provider-specific auth, rate-limit backoff, and error normalization so the rest of the system never sees provider-specific exceptions.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3.5 Evaluation Engine</w:t>
      </w:r>
    </w:p>
    <w:p>
      <w:pPr>
        <w:spacing w:after="160"/>
        <w:jc w:val="both"/>
      </w:pPr>
      <w:r>
        <w:rPr>
          <w:sz w:val="22"/>
          <w:szCs w:val="22"/>
        </w:rPr>
        <w:t xml:space="preserve">Composed of independent scorer modules invoked per RunResult: (a) Quality Scorer — exact-match/F1/semantic-similarity for closed-form tasks, LLM-as-a-Judge for open-ended tasks; (b) Hallucination &amp; Reliability Scorer — claim extraction, claim verification against reference/source, groundedness, consistency; (c) Efficiency Scorer — latency/token aggregation; (d) Cost Scorer — pricing-table lookup and cost computation. Each scorer is independently unit-testable and independently swappable.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3.6 Industry Comparison Engine (Differentiating Module)</w:t>
      </w:r>
    </w:p>
    <w:p>
      <w:pPr>
        <w:spacing w:after="160"/>
        <w:jc w:val="both"/>
      </w:pPr>
      <w:r>
        <w:rPr>
          <w:sz w:val="22"/>
          <w:szCs w:val="22"/>
        </w:rPr>
        <w:t xml:space="preserve">Consumes the Evaluation Engine's per-task scores plus the maintained Baseline Set (versioned, date-stamped reference scores for well-known industry-standard models per capability category) and produces: (i) a normalized score per model per capability category (e.g., z-score/percentile against the baseline distribution), (ii) a Tier label (Frontier/Strong/Mid/Weak) via configurable thresholds, (iii) a capability profile (vector across all categories, used for the radar chart), and (iv) an auto-generated plain-language positioning summary. This module is deliberately isolated from the Evaluation Engine so the Baseline Set can be refreshed or extended without touching scoring logic.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3.7 Reporting &amp; Visualization Layer</w:t>
      </w:r>
    </w:p>
    <w:p>
      <w:pPr>
        <w:spacing w:after="160"/>
        <w:jc w:val="both"/>
      </w:pPr>
      <w:r>
        <w:rPr>
          <w:sz w:val="22"/>
          <w:szCs w:val="22"/>
        </w:rPr>
        <w:t xml:space="preserve">Aggregates run results, capability profiles, and comparison output into dashboard payloads for the frontend and into exportable PDF/CSV reports.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3.8 Database</w:t>
      </w:r>
    </w:p>
    <w:p>
      <w:pPr>
        <w:spacing w:after="160"/>
        <w:jc w:val="both"/>
      </w:pPr>
      <w:r>
        <w:rPr>
          <w:sz w:val="22"/>
          <w:szCs w:val="22"/>
        </w:rPr>
        <w:t xml:space="preserve">PostgreSQL (Supabase/Neon free tier) storing Provider, Model, Dataset, Task, BenchmarkRun, RunResult, EvaluationScore, CapabilityCategory, BaselineModel, BaselineScore, and Report entities, as introduced in the SRS Data Requirements section.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Data Flow</w:t>
      </w:r>
    </w:p>
    <w:p>
      <w:pPr>
        <w:spacing w:after="160"/>
        <w:jc w:val="both"/>
      </w:pPr>
      <w:r>
        <w:rPr>
          <w:sz w:val="22"/>
          <w:szCs w:val="22"/>
        </w:rPr>
        <w:t xml:space="preserve">User configures run (models + dataset + params) → Backend API creates a BenchmarkRun → Benchmark Manager builds the task matrix and dispatches calls through the LLM Integration Layer → raw responses persist as RunResult rows → Evaluation Engine scorers consume RunResult rows and write EvaluationScore rows → Industry Comparison Engine consumes EvaluationScore rows plus BaselineScore rows and writes normalized CapabilityProfile/Tier data → Reporting Layer aggregates everything for the dashboard and export → Frontend renders tables, charts, capability radars, and positioning statements.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TypeScript, Recharts/Chart.js for charts, generated/scaffolded via Stitch (UI UX Pro Max AgentKit) + Codex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Python, FastAPI, Pydantic for schema validation, async task execution (asyncio / background tasks or a lightweight queue)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&amp; Comparison logic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(scikit-learn/numpy for statistical normalization, embedding libraries for semantic similarity)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(Supabase or Neon free tier) via SQLAlchemy ORM; SQLite for local development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providers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OpenRouter (free models), Google Gemini free tier, NVIDIA NIM free credits, Cloudflare Workers AI free tier, Groq free tier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Railway (primary deployment target) for backend + frontend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Deployment View</w:t>
      </w:r>
    </w:p>
    <w:p>
      <w:pPr>
        <w:spacing w:after="160"/>
        <w:jc w:val="both"/>
      </w:pPr>
      <w:r>
        <w:rPr>
          <w:sz w:val="22"/>
          <w:szCs w:val="22"/>
        </w:rPr>
        <w:t xml:space="preserve">Two deployable units on Railway: (1) the FastAPI backend service, connected to an external managed free Postgres instance (Supabase/Neon), with environment-variable-based secrets for provider API keys; (2) the React frontend, built as a static bundle and served either from Railway's static hosting or a lightweight Node/Nginx service, configured with the backend's public URL. Both services are defined via a railway.json / Procfile-equivalent so deployment is reproducible from the GitHub repository.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7. Design Decisions &amp; Rationale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monolith over microservices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two-person academic team with zero infrastructure budget cannot operate multiple independently-scaled services; internal module boundaries preserve future separability.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scores pre-computed/cached rather than always live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Avoids repeatedly paying (in quota or cost) to re-run expensive baseline models on every user run; keeps comparisons fast.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Adapters behind a common interface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Lets the free-tier provider list change over time (a real risk given quota volatility) without touching evaluation or comparison logic.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Engine isolated from Evaluation Engine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Lets the "industry standard" definition evolve (new baseline models, adjusted tier thresholds) independently of how raw scores are computed.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score traceable to method + baseline version + date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Directly satisfies the reproducibility and evaluation-accuracy non-functional requirements from the SRS.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8. Future Architectural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Swap background-task execution for a proper queue (e.g., Redis-backed) if run volume grows beyond what Railway's free tier can hold in-process.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locally-hosted open-source model evaluation via a pluggable local-inference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scheduled job to auto-refresh the Baseline Set from public leaderboards where licensing permits.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SAD — LLM Evaluation &amp; Benchmarking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2026-09-06T18:13:17.540Z</dcterms:created>
  <dcterms:modified xsi:type="dcterms:W3CDTF">2026-09-06T18:13:17.540Z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