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0E7C74"/>
          <w:sz w:val="22"/>
        </w:rPr>
        <w:t>ATLANTIS FMCG MARKETPLACE</w:t>
      </w:r>
    </w:p>
    <w:p>
      <w:r>
        <w:rPr>
          <w:b/>
          <w:color w:val="0A1A2F"/>
          <w:sz w:val="60"/>
        </w:rPr>
        <w:t>Design vs Systems Boundary</w:t>
      </w:r>
    </w:p>
    <w:p>
      <w:r>
        <w:rPr>
          <w:color w:val="556070"/>
          <w:sz w:val="26"/>
        </w:rPr>
        <w:t>What may be built now, and what waits for owner approval</w:t>
      </w:r>
    </w:p>
    <w:p>
      <w:pPr>
        <w:spacing w:before="600"/>
      </w:pPr>
    </w:p>
    <w:tbl>
      <w:tblPr>
        <w:tblW w:type="auto" w:w="0"/>
        <w:jc w:val="left"/>
        <w:tblLook w:firstColumn="1" w:firstRow="1" w:lastColumn="0" w:lastRow="0" w:noHBand="0" w:noVBand="1" w:val="04A0"/>
      </w:tblPr>
      <w:tblGrid>
        <w:gridCol w:w="4819"/>
        <w:gridCol w:w="4819"/>
      </w:tblGrid>
      <w:tr>
        <w:tc>
          <w:tcPr>
            <w:tcW w:type="dxa" w:w="2381"/>
          </w:tcPr>
          <w:p>
            <w:r>
              <w:rPr>
                <w:b/>
                <w:color w:val="556070"/>
                <w:sz w:val="19"/>
              </w:rPr>
              <w:t>Audit date</w:t>
            </w:r>
          </w:p>
        </w:tc>
        <w:tc>
          <w:tcPr>
            <w:tcW w:type="dxa" w:w="7087"/>
          </w:tcPr>
          <w:p>
            <w:r>
              <w:rPr>
                <w:sz w:val="19"/>
              </w:rPr>
              <w:t>16 October 2026</w:t>
            </w:r>
          </w:p>
        </w:tc>
      </w:tr>
      <w:tr>
        <w:tc>
          <w:tcPr>
            <w:tcW w:type="dxa" w:w="2381"/>
          </w:tcPr>
          <w:p>
            <w:r>
              <w:rPr>
                <w:b/>
                <w:color w:val="556070"/>
                <w:sz w:val="19"/>
              </w:rPr>
              <w:t>Repository branch</w:t>
            </w:r>
          </w:p>
        </w:tc>
        <w:tc>
          <w:tcPr>
            <w:tcW w:type="dxa" w:w="7087"/>
          </w:tcPr>
          <w:p>
            <w:r>
              <w:rPr>
                <w:sz w:val="19"/>
              </w:rPr>
              <w:t>claude/atlantis-marketplace-redesign-f7878d</w:t>
            </w:r>
          </w:p>
        </w:tc>
      </w:tr>
      <w:tr>
        <w:tc>
          <w:tcPr>
            <w:tcW w:type="dxa" w:w="2381"/>
          </w:tcPr>
          <w:p>
            <w:r>
              <w:rPr>
                <w:b/>
                <w:color w:val="556070"/>
                <w:sz w:val="19"/>
              </w:rPr>
              <w:t>Audit basis</w:t>
            </w:r>
          </w:p>
        </w:tc>
        <w:tc>
          <w:tcPr>
            <w:tcW w:type="dxa" w:w="7087"/>
          </w:tcPr>
          <w:p>
            <w:r>
              <w:rPr>
                <w:sz w:val="19"/>
              </w:rPr>
              <w:t>Code, schema and API read at commit fae4c12; local browser and API checks</w:t>
            </w:r>
          </w:p>
        </w:tc>
      </w:tr>
      <w:tr>
        <w:tc>
          <w:tcPr>
            <w:tcW w:type="dxa" w:w="2381"/>
          </w:tcPr>
          <w:p>
            <w:r>
              <w:rPr>
                <w:b/>
                <w:color w:val="556070"/>
                <w:sz w:val="19"/>
              </w:rPr>
              <w:t>Status</w:t>
            </w:r>
          </w:p>
        </w:tc>
        <w:tc>
          <w:tcPr>
            <w:tcW w:type="dxa" w:w="7087"/>
          </w:tcPr>
          <w:p>
            <w:r>
              <w:rPr>
                <w:sz w:val="19"/>
              </w:rPr>
              <w:t>Findings only — transactional changes require owner approval</w:t>
            </w:r>
          </w:p>
        </w:tc>
      </w:tr>
      <w:tr>
        <w:tc>
          <w:tcPr>
            <w:tcW w:type="dxa" w:w="2381"/>
          </w:tcPr>
          <w:p>
            <w:r>
              <w:rPr>
                <w:b/>
                <w:color w:val="556070"/>
                <w:sz w:val="19"/>
              </w:rPr>
              <w:t>Classification</w:t>
            </w:r>
          </w:p>
        </w:tc>
        <w:tc>
          <w:tcPr>
            <w:tcW w:type="dxa" w:w="7087"/>
          </w:tcPr>
          <w:p>
            <w:r>
              <w:rPr>
                <w:sz w:val="19"/>
              </w:rPr>
              <w:t>Internal — contains security findings; do not share outside Atlantis</w:t>
            </w:r>
          </w:p>
        </w:tc>
      </w:tr>
    </w:tbl>
    <w:p>
      <w:r>
        <w:br w:type="page"/>
      </w:r>
    </w:p>
    <w:p>
      <w:pPr>
        <w:pStyle w:val="Heading1"/>
      </w:pPr>
      <w:r>
        <w:t>Contents</w:t>
      </w:r>
    </w:p>
    <w:p>
      <w:r>
        <w:fldChar w:fldCharType="begin"/>
      </w:r>
      <w:r>
        <w:instrText xml:space="preserve">TOC \o "1-2" \h \z \u</w:instrText>
      </w:r>
      <w:r>
        <w:fldChar w:fldCharType="separate"/>
      </w:r>
      <w:r>
        <w:t>A. Safe to implement now</w:t>
        <w:br/>
        <w:t>B. Document only — explicit approval required</w:t>
        <w:br/>
        <w:t xml:space="preserve">      Why the security fixes sit in B</w:t>
        <w:br/>
        <w:t>How the boundary was applied to specific designs</w:t>
      </w:r>
      <w:r>
        <w:fldChar w:fldCharType="end"/>
      </w:r>
    </w:p>
    <w:p>
      <w:r>
        <w:rPr>
          <w:i/>
          <w:color w:val="556070"/>
          <w:sz w:val="17"/>
        </w:rPr>
        <w:t>In Microsoft Word, right-click the contents and choose “Update field” to add page numbers.</w:t>
      </w:r>
    </w:p>
    <w:p>
      <w:r>
        <w:br w:type="page"/>
      </w:r>
    </w:p>
    <w:p>
      <w:r>
        <w:rPr>
          <w:b w:val="0"/>
        </w:rPr>
        <w:t>Atlantis is changing in two very different ways:</w:t>
      </w:r>
    </w:p>
    <w:p>
      <w:pPr>
        <w:pStyle w:val="ListBullet"/>
      </w:pPr>
      <w:r>
        <w:rPr>
          <w:b/>
        </w:rPr>
        <w:t>Design work.</w:t>
      </w:r>
      <w:r>
        <w:rPr>
          <w:b w:val="0"/>
        </w:rPr>
        <w:t xml:space="preserve"> How existing information and existing actions are presented.</w:t>
      </w:r>
    </w:p>
    <w:p>
      <w:pPr>
        <w:pStyle w:val="ListBullet"/>
      </w:pPr>
      <w:r>
        <w:rPr>
          <w:b/>
        </w:rPr>
        <w:t>System work.</w:t>
      </w:r>
      <w:r>
        <w:rPr>
          <w:b w:val="0"/>
        </w:rPr>
        <w:t xml:space="preserve"> What the platform actually does with orders and money.</w:t>
      </w:r>
    </w:p>
    <w:p>
      <w:r>
        <w:rPr>
          <w:b w:val="0"/>
        </w:rPr>
        <w:t xml:space="preserve">This document is the rule for which is which. Design work may be done now. System work is documented in </w:t>
      </w:r>
      <w:r>
        <w:rPr>
          <w:b w:val="0"/>
          <w:color w:val="0E7C74"/>
        </w:rPr>
        <w:t>Order_Payment_Refund_Gaps.docx</w:t>
      </w:r>
      <w:r>
        <w:rPr>
          <w:b w:val="0"/>
        </w:rPr>
        <w:t xml:space="preserve"> and </w:t>
      </w:r>
      <w:r>
        <w:rPr>
          <w:b w:val="0"/>
          <w:color w:val="0E7C74"/>
        </w:rPr>
        <w:t>Implementation_Roadmap.docx</w:t>
      </w:r>
      <w:r>
        <w:rPr>
          <w:b w:val="0"/>
        </w:rPr>
        <w:t>, and waits for explicit owner approval.</w:t>
      </w:r>
    </w:p>
    <w:p>
      <w:r>
        <w:rPr>
          <w:b w:val="0"/>
        </w:rPr>
        <w:t>Gap IDs (</w:t>
      </w:r>
      <w:r>
        <w:rPr>
          <w:rFonts w:ascii="Consolas" w:hAnsi="Consolas"/>
          <w:b w:val="0"/>
          <w:color w:val="1F3A5F"/>
          <w:sz w:val="19"/>
        </w:rPr>
        <w:t>TX-…</w:t>
      </w:r>
      <w:r>
        <w:rPr>
          <w:b w:val="0"/>
        </w:rPr>
        <w:t xml:space="preserve">, </w:t>
      </w:r>
      <w:r>
        <w:rPr>
          <w:rFonts w:ascii="Consolas" w:hAnsi="Consolas"/>
          <w:b w:val="0"/>
          <w:color w:val="1F3A5F"/>
          <w:sz w:val="19"/>
        </w:rPr>
        <w:t>BUY-…</w:t>
      </w:r>
      <w:r>
        <w:rPr>
          <w:b w:val="0"/>
        </w:rPr>
        <w:t xml:space="preserve">, </w:t>
      </w:r>
      <w:r>
        <w:rPr>
          <w:rFonts w:ascii="Consolas" w:hAnsi="Consolas"/>
          <w:b w:val="0"/>
          <w:color w:val="1F3A5F"/>
          <w:sz w:val="19"/>
        </w:rPr>
        <w:t>SUP-…</w:t>
      </w:r>
      <w:r>
        <w:rPr>
          <w:b w:val="0"/>
        </w:rPr>
        <w:t xml:space="preserve">, </w:t>
      </w:r>
      <w:r>
        <w:rPr>
          <w:rFonts w:ascii="Consolas" w:hAnsi="Consolas"/>
          <w:b w:val="0"/>
          <w:color w:val="1F3A5F"/>
          <w:sz w:val="19"/>
        </w:rPr>
        <w:t>PLT-…</w:t>
      </w:r>
      <w:r>
        <w:rPr>
          <w:b w:val="0"/>
        </w:rPr>
        <w:t xml:space="preserve">, </w:t>
      </w:r>
      <w:r>
        <w:rPr>
          <w:rFonts w:ascii="Consolas" w:hAnsi="Consolas"/>
          <w:b w:val="0"/>
          <w:color w:val="1F3A5F"/>
          <w:sz w:val="19"/>
        </w:rPr>
        <w:t>CNT-…</w:t>
      </w:r>
      <w:r>
        <w:rPr>
          <w:b w:val="0"/>
        </w:rPr>
        <w:t xml:space="preserve">, </w:t>
      </w:r>
      <w:r>
        <w:rPr>
          <w:rFonts w:ascii="Consolas" w:hAnsi="Consolas"/>
          <w:b w:val="0"/>
          <w:color w:val="1F3A5F"/>
          <w:sz w:val="19"/>
        </w:rPr>
        <w:t>L10N-…</w:t>
      </w:r>
      <w:r>
        <w:rPr>
          <w:b w:val="0"/>
        </w:rPr>
        <w:t xml:space="preserve">) refer to </w:t>
      </w:r>
      <w:r>
        <w:rPr>
          <w:b w:val="0"/>
          <w:color w:val="0E7C74"/>
        </w:rPr>
        <w:t>Marketplace_Gap_Register.docx</w:t>
      </w:r>
      <w:r>
        <w:rPr>
          <w:b w:val="0"/>
        </w:rPr>
        <w:t>.</w:t>
      </w:r>
    </w:p>
    <w:p>
      <w:pPr>
        <w:pStyle w:val="Heading1"/>
      </w:pPr>
      <w:r>
        <w:rPr>
          <w:b w:val="0"/>
        </w:rPr>
        <w:t>A. Safe to implement now</w:t>
      </w:r>
    </w:p>
    <w:p>
      <w:r>
        <w:rPr>
          <w:b w:val="0"/>
        </w:rPr>
        <w:t xml:space="preserve">A change is safe when </w:t>
      </w:r>
      <w:r>
        <w:rPr>
          <w:b/>
        </w:rPr>
        <w:t>all</w:t>
      </w:r>
      <w:r>
        <w:rPr>
          <w:b w:val="0"/>
        </w:rPr>
        <w:t xml:space="preserve"> of these hold:</w:t>
      </w:r>
    </w:p>
    <w:p>
      <w:pPr>
        <w:pStyle w:val="ListNumber"/>
      </w:pPr>
      <w:r>
        <w:rPr>
          <w:b w:val="0"/>
        </w:rPr>
        <w:t>It reads data the API already returns, or calls an action the API already offers, in the way the UI already calls it.</w:t>
      </w:r>
    </w:p>
    <w:p>
      <w:pPr>
        <w:pStyle w:val="ListNumber"/>
      </w:pPr>
      <w:r>
        <w:rPr>
          <w:b w:val="0"/>
        </w:rPr>
        <w:t>It changes no server code that decides an order, payment, refund, dispute, delivery charge, commission, permission or approval.</w:t>
      </w:r>
    </w:p>
    <w:p>
      <w:pPr>
        <w:pStyle w:val="ListNumber"/>
      </w:pPr>
      <w:r>
        <w:rPr>
          <w:b w:val="0"/>
        </w:rPr>
        <w:t>It adds no database field, migration or new transactional endpoint.</w:t>
      </w:r>
    </w:p>
    <w:p>
      <w:pPr>
        <w:pStyle w:val="ListNumber"/>
      </w:pPr>
      <w:r>
        <w:rPr>
          <w:b w:val="0"/>
        </w:rPr>
        <w:t>Every status, amount, date and promise it shows is something the server records or the business has published.</w:t>
      </w:r>
    </w:p>
    <w:p>
      <w:r>
        <w:rPr>
          <w:b w:val="0"/>
        </w:rPr>
        <w:t>Within that rule, the following kinds of work are in scope:</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4819"/>
            <w:shd w:val="clear" w:color="auto" w:fill="0A1A2F"/>
          </w:tcPr>
          <w:p>
            <w:pPr>
              <w:spacing w:after="0"/>
            </w:pPr>
            <w:r>
              <w:rPr>
                <w:b/>
                <w:color w:val="FFFFFF"/>
                <w:sz w:val="18"/>
              </w:rPr>
              <w:t>Kind of work</w:t>
            </w:r>
          </w:p>
        </w:tc>
        <w:tc>
          <w:tcPr>
            <w:tcW w:type="dxa" w:w="4819"/>
            <w:shd w:val="clear" w:color="auto" w:fill="0A1A2F"/>
          </w:tcPr>
          <w:p>
            <w:pPr>
              <w:spacing w:after="0"/>
            </w:pPr>
            <w:r>
              <w:rPr>
                <w:b/>
                <w:color w:val="FFFFFF"/>
                <w:sz w:val="18"/>
              </w:rPr>
              <w:t>Examples in this phase</w:t>
            </w:r>
          </w:p>
        </w:tc>
      </w:tr>
      <w:tr>
        <w:tc>
          <w:tcPr>
            <w:tcW w:type="dxa" w:w="4819"/>
          </w:tcPr>
          <w:p>
            <w:pPr>
              <w:spacing w:after="0"/>
            </w:pPr>
            <w:r>
              <w:rPr>
                <w:b w:val="0"/>
                <w:sz w:val="18"/>
              </w:rPr>
              <w:t>Page layout and visual hierarchy</w:t>
            </w:r>
          </w:p>
        </w:tc>
        <w:tc>
          <w:tcPr>
            <w:tcW w:type="dxa" w:w="4819"/>
          </w:tcPr>
          <w:p>
            <w:pPr>
              <w:spacing w:after="0"/>
            </w:pPr>
            <w:r>
              <w:rPr>
                <w:b w:val="0"/>
                <w:sz w:val="18"/>
              </w:rPr>
              <w:t>Returns &amp; Refunds; buyer order list cards; buyer order page; Payments &amp; invoices (read-only)</w:t>
            </w:r>
          </w:p>
        </w:tc>
      </w:tr>
      <w:tr>
        <w:tc>
          <w:tcPr>
            <w:tcW w:type="dxa" w:w="4819"/>
            <w:shd w:val="clear" w:color="auto" w:fill="F4F6F8"/>
          </w:tcPr>
          <w:p>
            <w:pPr>
              <w:spacing w:after="0"/>
            </w:pPr>
            <w:r>
              <w:rPr>
                <w:b w:val="0"/>
                <w:sz w:val="18"/>
              </w:rPr>
              <w:t>Responsive behaviour and accessibility</w:t>
            </w:r>
          </w:p>
        </w:tc>
        <w:tc>
          <w:tcPr>
            <w:tcW w:type="dxa" w:w="4819"/>
            <w:shd w:val="clear" w:color="auto" w:fill="F4F6F8"/>
          </w:tcPr>
          <w:p>
            <w:pPr>
              <w:spacing w:after="0"/>
            </w:pPr>
            <w:r>
              <w:rPr>
                <w:b w:val="0"/>
                <w:sz w:val="18"/>
              </w:rPr>
              <w:t xml:space="preserve">Phone layouts at 375 px, keyboard focus, </w:t>
            </w:r>
            <w:r>
              <w:rPr>
                <w:rFonts w:ascii="Consolas" w:hAnsi="Consolas"/>
                <w:b w:val="0"/>
                <w:color w:val="1F3A5F"/>
                <w:sz w:val="16"/>
              </w:rPr>
              <w:t>aria-*</w:t>
            </w:r>
            <w:r>
              <w:rPr>
                <w:b w:val="0"/>
                <w:sz w:val="18"/>
              </w:rPr>
              <w:t xml:space="preserve"> labels, landmark headings, reduced motion</w:t>
            </w:r>
          </w:p>
        </w:tc>
      </w:tr>
      <w:tr>
        <w:tc>
          <w:tcPr>
            <w:tcW w:type="dxa" w:w="4819"/>
          </w:tcPr>
          <w:p>
            <w:pPr>
              <w:spacing w:after="0"/>
            </w:pPr>
            <w:r>
              <w:rPr>
                <w:b w:val="0"/>
                <w:sz w:val="18"/>
              </w:rPr>
              <w:t>Design-system components</w:t>
            </w:r>
          </w:p>
        </w:tc>
        <w:tc>
          <w:tcPr>
            <w:tcW w:type="dxa" w:w="4819"/>
          </w:tcPr>
          <w:p>
            <w:pPr>
              <w:spacing w:after="0"/>
            </w:pPr>
            <w:r>
              <w:rPr>
                <w:rFonts w:ascii="Consolas" w:hAnsi="Consolas"/>
                <w:b w:val="0"/>
                <w:color w:val="1F3A5F"/>
                <w:sz w:val="16"/>
              </w:rPr>
              <w:t>components/ds</w:t>
            </w:r>
            <w:r>
              <w:rPr>
                <w:b w:val="0"/>
                <w:sz w:val="18"/>
              </w:rPr>
              <w:t xml:space="preserve">, the shared order pieces in </w:t>
            </w:r>
            <w:r>
              <w:rPr>
                <w:rFonts w:ascii="Consolas" w:hAnsi="Consolas"/>
                <w:b w:val="0"/>
                <w:color w:val="1F3A5F"/>
                <w:sz w:val="16"/>
              </w:rPr>
              <w:t>components/orders/order-ui.tsx</w:t>
            </w:r>
          </w:p>
        </w:tc>
      </w:tr>
      <w:tr>
        <w:tc>
          <w:tcPr>
            <w:tcW w:type="dxa" w:w="4819"/>
            <w:shd w:val="clear" w:color="auto" w:fill="F4F6F8"/>
          </w:tcPr>
          <w:p>
            <w:pPr>
              <w:spacing w:after="0"/>
            </w:pPr>
            <w:r>
              <w:rPr>
                <w:b w:val="0"/>
                <w:sz w:val="18"/>
              </w:rPr>
              <w:t>Rendering existing data</w:t>
            </w:r>
          </w:p>
        </w:tc>
        <w:tc>
          <w:tcPr>
            <w:tcW w:type="dxa" w:w="4819"/>
            <w:shd w:val="clear" w:color="auto" w:fill="F4F6F8"/>
          </w:tcPr>
          <w:p>
            <w:pPr>
              <w:spacing w:after="0"/>
            </w:pPr>
            <w:r>
              <w:rPr>
                <w:b w:val="0"/>
                <w:sz w:val="18"/>
              </w:rPr>
              <w:t>Payment status as recorded (</w:t>
            </w:r>
            <w:r>
              <w:rPr>
                <w:rFonts w:ascii="Consolas" w:hAnsi="Consolas"/>
                <w:b w:val="0"/>
                <w:color w:val="1F3A5F"/>
                <w:sz w:val="16"/>
              </w:rPr>
              <w:t>Order.paymentStatus</w:t>
            </w:r>
            <w:r>
              <w:rPr>
                <w:b w:val="0"/>
                <w:sz w:val="18"/>
              </w:rPr>
              <w:t xml:space="preserve">), invoices from </w:t>
            </w:r>
            <w:r>
              <w:rPr>
                <w:rFonts w:ascii="Consolas" w:hAnsi="Consolas"/>
                <w:b w:val="0"/>
                <w:color w:val="1F3A5F"/>
                <w:sz w:val="16"/>
              </w:rPr>
              <w:t>GET /invoices/my</w:t>
            </w:r>
            <w:r>
              <w:rPr>
                <w:b w:val="0"/>
                <w:sz w:val="18"/>
              </w:rPr>
              <w:t xml:space="preserve">, disputes from </w:t>
            </w:r>
            <w:r>
              <w:rPr>
                <w:rFonts w:ascii="Consolas" w:hAnsi="Consolas"/>
                <w:b w:val="0"/>
                <w:color w:val="1F3A5F"/>
                <w:sz w:val="16"/>
              </w:rPr>
              <w:t>GET /disputes/my</w:t>
            </w:r>
            <w:r>
              <w:rPr>
                <w:b w:val="0"/>
                <w:sz w:val="18"/>
              </w:rPr>
              <w:t>, inspection status, delivery summary</w:t>
            </w:r>
          </w:p>
        </w:tc>
      </w:tr>
      <w:tr>
        <w:tc>
          <w:tcPr>
            <w:tcW w:type="dxa" w:w="4819"/>
          </w:tcPr>
          <w:p>
            <w:pPr>
              <w:spacing w:after="0"/>
            </w:pPr>
            <w:r>
              <w:rPr>
                <w:b w:val="0"/>
                <w:sz w:val="18"/>
              </w:rPr>
              <w:t>Truthful UI states</w:t>
            </w:r>
          </w:p>
        </w:tc>
        <w:tc>
          <w:tcPr>
            <w:tcW w:type="dxa" w:w="4819"/>
          </w:tcPr>
          <w:p>
            <w:pPr>
              <w:spacing w:after="0"/>
            </w:pPr>
            <w:r>
              <w:rPr>
                <w:b w:val="0"/>
                <w:sz w:val="18"/>
              </w:rPr>
              <w:t>Loading, empty, error, retry and "not issued yet" / "quoted after confirmation" states that match what the API returns</w:t>
            </w:r>
          </w:p>
        </w:tc>
      </w:tr>
      <w:tr>
        <w:tc>
          <w:tcPr>
            <w:tcW w:type="dxa" w:w="4819"/>
            <w:shd w:val="clear" w:color="auto" w:fill="F4F6F8"/>
          </w:tcPr>
          <w:p>
            <w:pPr>
              <w:spacing w:after="0"/>
            </w:pPr>
            <w:r>
              <w:rPr>
                <w:b w:val="0"/>
                <w:sz w:val="18"/>
              </w:rPr>
              <w:t>Navigation and links</w:t>
            </w:r>
          </w:p>
        </w:tc>
        <w:tc>
          <w:tcPr>
            <w:tcW w:type="dxa" w:w="4819"/>
            <w:shd w:val="clear" w:color="auto" w:fill="F4F6F8"/>
          </w:tcPr>
          <w:p>
            <w:pPr>
              <w:spacing w:after="0"/>
            </w:pPr>
            <w:r>
              <w:rPr>
                <w:b w:val="0"/>
                <w:sz w:val="18"/>
              </w:rPr>
              <w:t>Links to existing routes only; deep links to an existing section (</w:t>
            </w:r>
            <w:r>
              <w:rPr>
                <w:rFonts w:ascii="Consolas" w:hAnsi="Consolas"/>
                <w:b w:val="0"/>
                <w:color w:val="1F3A5F"/>
                <w:sz w:val="16"/>
              </w:rPr>
              <w:t>/orders/{id}#dispute</w:t>
            </w:r>
            <w:r>
              <w:rPr>
                <w:b w:val="0"/>
                <w:sz w:val="18"/>
              </w:rPr>
              <w:t>)</w:t>
            </w:r>
          </w:p>
        </w:tc>
      </w:tr>
      <w:tr>
        <w:tc>
          <w:tcPr>
            <w:tcW w:type="dxa" w:w="4819"/>
          </w:tcPr>
          <w:p>
            <w:pPr>
              <w:spacing w:after="0"/>
            </w:pPr>
            <w:r>
              <w:rPr>
                <w:b w:val="0"/>
                <w:sz w:val="18"/>
              </w:rPr>
              <w:t>Localization of existing UI</w:t>
            </w:r>
          </w:p>
        </w:tc>
        <w:tc>
          <w:tcPr>
            <w:tcW w:type="dxa" w:w="4819"/>
          </w:tcPr>
          <w:p>
            <w:pPr>
              <w:spacing w:after="0"/>
            </w:pPr>
            <w:r>
              <w:rPr>
                <w:b w:val="0"/>
                <w:sz w:val="18"/>
              </w:rPr>
              <w:t>Dictionary keys in all seven languages, RTL/LTR, locale-aware dates and numbers</w:t>
            </w:r>
          </w:p>
        </w:tc>
      </w:tr>
      <w:tr>
        <w:tc>
          <w:tcPr>
            <w:tcW w:type="dxa" w:w="4819"/>
            <w:shd w:val="clear" w:color="auto" w:fill="F4F6F8"/>
          </w:tcPr>
          <w:p>
            <w:pPr>
              <w:spacing w:after="0"/>
            </w:pPr>
            <w:r>
              <w:rPr>
                <w:b w:val="0"/>
                <w:sz w:val="18"/>
              </w:rPr>
              <w:t>Presentation fixes that keep behaviour</w:t>
            </w:r>
          </w:p>
        </w:tc>
        <w:tc>
          <w:tcPr>
            <w:tcW w:type="dxa" w:w="4819"/>
            <w:shd w:val="clear" w:color="auto" w:fill="F4F6F8"/>
          </w:tcPr>
          <w:p>
            <w:pPr>
              <w:spacing w:after="0"/>
            </w:pPr>
            <w:r>
              <w:rPr>
                <w:b w:val="0"/>
                <w:sz w:val="18"/>
              </w:rPr>
              <w:t>Buyer-voiced delivery labels instead of supplier-voiced server text; escaping user text in the printable invoice (an XSS fix that changes no business logic)</w:t>
            </w:r>
          </w:p>
        </w:tc>
      </w:tr>
      <w:tr>
        <w:tc>
          <w:tcPr>
            <w:tcW w:type="dxa" w:w="4819"/>
          </w:tcPr>
          <w:p>
            <w:pPr>
              <w:spacing w:after="0"/>
            </w:pPr>
            <w:r>
              <w:rPr>
                <w:b w:val="0"/>
                <w:sz w:val="18"/>
              </w:rPr>
              <w:t>Correcting copy to match the system</w:t>
            </w:r>
          </w:p>
        </w:tc>
        <w:tc>
          <w:tcPr>
            <w:tcW w:type="dxa" w:w="4819"/>
          </w:tcPr>
          <w:p>
            <w:pPr>
              <w:spacing w:after="0"/>
            </w:pPr>
            <w:r>
              <w:rPr>
                <w:b w:val="0"/>
                <w:sz w:val="18"/>
              </w:rPr>
              <w:t>Policy and help text that described a flow differently from how it works (wording only, the policy's facts unchanged)</w:t>
            </w:r>
          </w:p>
        </w:tc>
      </w:tr>
    </w:tbl>
    <w:p>
      <w:pPr>
        <w:spacing w:after="40"/>
      </w:pPr>
    </w:p>
    <w:p>
      <w:r>
        <w:rPr>
          <w:b w:val="0"/>
        </w:rPr>
        <w:t xml:space="preserve">Two read-only API additions were made in the earlier round (round 10) under the same rule. The buyer order list now also returns packaging fields, the EXW location, the latest inspection status and a buyer-safe delivery summary. These are fields the order page already exposed, and no supplier ids or charges are included (see </w:t>
      </w:r>
      <w:r>
        <w:rPr>
          <w:rFonts w:ascii="Consolas" w:hAnsi="Consolas"/>
          <w:b w:val="0"/>
          <w:color w:val="1F3A5F"/>
          <w:sz w:val="19"/>
        </w:rPr>
        <w:t>backend/src/orders/orders.service.ts</w:t>
      </w:r>
      <w:r>
        <w:rPr>
          <w:b w:val="0"/>
        </w:rPr>
        <w:t xml:space="preserve"> </w:t>
      </w:r>
      <w:r>
        <w:rPr>
          <w:rFonts w:ascii="Consolas" w:hAnsi="Consolas"/>
          <w:b w:val="0"/>
          <w:color w:val="1F3A5F"/>
          <w:sz w:val="19"/>
        </w:rPr>
        <w:t>findByBuyer</w:t>
      </w:r>
      <w:r>
        <w:rPr>
          <w:b w:val="0"/>
        </w:rPr>
        <w:t xml:space="preserve"> and its test).</w:t>
      </w:r>
    </w:p>
    <w:p>
      <w:pPr>
        <w:pStyle w:val="Heading1"/>
      </w:pPr>
      <w:r>
        <w:rPr>
          <w:b w:val="0"/>
        </w:rPr>
        <w:t>B. Document only — explicit approval required</w:t>
      </w:r>
    </w:p>
    <w:p>
      <w:r>
        <w:rPr>
          <w:b w:val="0"/>
        </w:rPr>
        <w:t>None of the following is implemented in this phase. Each is recorded as a gap with a recommended task.</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3213"/>
            <w:shd w:val="clear" w:color="auto" w:fill="0A1A2F"/>
          </w:tcPr>
          <w:p>
            <w:pPr>
              <w:spacing w:after="0"/>
            </w:pPr>
            <w:r>
              <w:rPr>
                <w:b/>
                <w:color w:val="FFFFFF"/>
                <w:sz w:val="18"/>
              </w:rPr>
              <w:t>Area</w:t>
            </w:r>
          </w:p>
        </w:tc>
        <w:tc>
          <w:tcPr>
            <w:tcW w:type="dxa" w:w="3213"/>
            <w:shd w:val="clear" w:color="auto" w:fill="0A1A2F"/>
          </w:tcPr>
          <w:p>
            <w:pPr>
              <w:spacing w:after="0"/>
            </w:pPr>
            <w:r>
              <w:rPr>
                <w:b/>
                <w:color w:val="FFFFFF"/>
                <w:sz w:val="18"/>
              </w:rPr>
              <w:t>What is out of bounds</w:t>
            </w:r>
          </w:p>
        </w:tc>
        <w:tc>
          <w:tcPr>
            <w:tcW w:type="dxa" w:w="3213"/>
            <w:shd w:val="clear" w:color="auto" w:fill="0A1A2F"/>
          </w:tcPr>
          <w:p>
            <w:pPr>
              <w:spacing w:after="0"/>
            </w:pPr>
            <w:r>
              <w:rPr>
                <w:b/>
                <w:color w:val="FFFFFF"/>
                <w:sz w:val="18"/>
              </w:rPr>
              <w:t>Related gaps</w:t>
            </w:r>
          </w:p>
        </w:tc>
      </w:tr>
      <w:tr>
        <w:tc>
          <w:tcPr>
            <w:tcW w:type="dxa" w:w="3213"/>
          </w:tcPr>
          <w:p>
            <w:pPr>
              <w:spacing w:after="0"/>
            </w:pPr>
            <w:r>
              <w:rPr>
                <w:b w:val="0"/>
                <w:sz w:val="18"/>
              </w:rPr>
              <w:t>Order lifecycle</w:t>
            </w:r>
          </w:p>
        </w:tc>
        <w:tc>
          <w:tcPr>
            <w:tcW w:type="dxa" w:w="3213"/>
          </w:tcPr>
          <w:p>
            <w:pPr>
              <w:spacing w:after="0"/>
            </w:pPr>
            <w:r>
              <w:rPr>
                <w:b w:val="0"/>
                <w:sz w:val="18"/>
              </w:rPr>
              <w:t>New statuses or transitions; automatic status changes; cancellation rules</w:t>
            </w:r>
          </w:p>
        </w:tc>
        <w:tc>
          <w:tcPr>
            <w:tcW w:type="dxa" w:w="3213"/>
          </w:tcPr>
          <w:p>
            <w:pPr>
              <w:spacing w:after="0"/>
            </w:pPr>
            <w:r>
              <w:rPr>
                <w:b w:val="0"/>
                <w:sz w:val="18"/>
              </w:rPr>
              <w:t>TX register</w:t>
            </w:r>
          </w:p>
        </w:tc>
      </w:tr>
      <w:tr>
        <w:tc>
          <w:tcPr>
            <w:tcW w:type="dxa" w:w="3213"/>
            <w:shd w:val="clear" w:color="auto" w:fill="F4F6F8"/>
          </w:tcPr>
          <w:p>
            <w:pPr>
              <w:spacing w:after="0"/>
            </w:pPr>
            <w:r>
              <w:rPr>
                <w:b w:val="0"/>
                <w:sz w:val="18"/>
              </w:rPr>
              <w:t>Payments</w:t>
            </w:r>
          </w:p>
        </w:tc>
        <w:tc>
          <w:tcPr>
            <w:tcW w:type="dxa" w:w="3213"/>
            <w:shd w:val="clear" w:color="auto" w:fill="F4F6F8"/>
          </w:tcPr>
          <w:p>
            <w:pPr>
              <w:spacing w:after="0"/>
            </w:pPr>
            <w:r>
              <w:rPr>
                <w:b w:val="0"/>
                <w:sz w:val="18"/>
              </w:rPr>
              <w:t>Payment processing, payment confirmation, marking orders or invoices paid, Stripe flows, deposits, settlement, payouts</w:t>
            </w:r>
          </w:p>
        </w:tc>
        <w:tc>
          <w:tcPr>
            <w:tcW w:type="dxa" w:w="3213"/>
            <w:shd w:val="clear" w:color="auto" w:fill="F4F6F8"/>
          </w:tcPr>
          <w:p>
            <w:pPr>
              <w:spacing w:after="0"/>
            </w:pPr>
            <w:r>
              <w:rPr>
                <w:b w:val="0"/>
                <w:sz w:val="18"/>
              </w:rPr>
              <w:t>TX register</w:t>
            </w:r>
          </w:p>
        </w:tc>
      </w:tr>
      <w:tr>
        <w:tc>
          <w:tcPr>
            <w:tcW w:type="dxa" w:w="3213"/>
          </w:tcPr>
          <w:p>
            <w:pPr>
              <w:spacing w:after="0"/>
            </w:pPr>
            <w:r>
              <w:rPr>
                <w:b w:val="0"/>
                <w:sz w:val="18"/>
              </w:rPr>
              <w:t>Refunds and returns</w:t>
            </w:r>
          </w:p>
        </w:tc>
        <w:tc>
          <w:tcPr>
            <w:tcW w:type="dxa" w:w="3213"/>
          </w:tcPr>
          <w:p>
            <w:pPr>
              <w:spacing w:after="0"/>
            </w:pPr>
            <w:r>
              <w:rPr>
                <w:b w:val="0"/>
                <w:sz w:val="18"/>
              </w:rPr>
              <w:t>Refund execution, refund eligibility rules, return authorisation</w:t>
            </w:r>
          </w:p>
        </w:tc>
        <w:tc>
          <w:tcPr>
            <w:tcW w:type="dxa" w:w="3213"/>
          </w:tcPr>
          <w:p>
            <w:pPr>
              <w:spacing w:after="0"/>
            </w:pPr>
            <w:r>
              <w:rPr>
                <w:b w:val="0"/>
                <w:sz w:val="18"/>
              </w:rPr>
              <w:t>TX register</w:t>
            </w:r>
          </w:p>
        </w:tc>
      </w:tr>
      <w:tr>
        <w:tc>
          <w:tcPr>
            <w:tcW w:type="dxa" w:w="3213"/>
            <w:shd w:val="clear" w:color="auto" w:fill="F4F6F8"/>
          </w:tcPr>
          <w:p>
            <w:pPr>
              <w:spacing w:after="0"/>
            </w:pPr>
            <w:r>
              <w:rPr>
                <w:b w:val="0"/>
                <w:sz w:val="18"/>
              </w:rPr>
              <w:t>Disputes</w:t>
            </w:r>
          </w:p>
        </w:tc>
        <w:tc>
          <w:tcPr>
            <w:tcW w:type="dxa" w:w="3213"/>
            <w:shd w:val="clear" w:color="auto" w:fill="F4F6F8"/>
          </w:tcPr>
          <w:p>
            <w:pPr>
              <w:spacing w:after="0"/>
            </w:pPr>
            <w:r>
              <w:rPr>
                <w:b w:val="0"/>
                <w:sz w:val="18"/>
              </w:rPr>
              <w:t>Changes to dispute submission or resolution; enforcing the 7-day window; SLA timers</w:t>
            </w:r>
          </w:p>
        </w:tc>
        <w:tc>
          <w:tcPr>
            <w:tcW w:type="dxa" w:w="3213"/>
            <w:shd w:val="clear" w:color="auto" w:fill="F4F6F8"/>
          </w:tcPr>
          <w:p>
            <w:pPr>
              <w:spacing w:after="0"/>
            </w:pPr>
            <w:r>
              <w:rPr>
                <w:b w:val="0"/>
                <w:sz w:val="18"/>
              </w:rPr>
              <w:t>TX register</w:t>
            </w:r>
          </w:p>
        </w:tc>
      </w:tr>
      <w:tr>
        <w:tc>
          <w:tcPr>
            <w:tcW w:type="dxa" w:w="3213"/>
          </w:tcPr>
          <w:p>
            <w:pPr>
              <w:spacing w:after="0"/>
            </w:pPr>
            <w:r>
              <w:rPr>
                <w:b w:val="0"/>
                <w:sz w:val="18"/>
              </w:rPr>
              <w:t>Supplier approval</w:t>
            </w:r>
          </w:p>
        </w:tc>
        <w:tc>
          <w:tcPr>
            <w:tcW w:type="dxa" w:w="3213"/>
          </w:tcPr>
          <w:p>
            <w:pPr>
              <w:spacing w:after="0"/>
            </w:pPr>
            <w:r>
              <w:rPr>
                <w:b w:val="0"/>
                <w:sz w:val="18"/>
              </w:rPr>
              <w:t xml:space="preserve">The confirmation/approval workflow in </w:t>
            </w:r>
            <w:r>
              <w:rPr>
                <w:rFonts w:ascii="Consolas" w:hAnsi="Consolas"/>
                <w:b w:val="0"/>
                <w:color w:val="1F3A5F"/>
                <w:sz w:val="16"/>
              </w:rPr>
              <w:t>order-workflow.ts</w:t>
            </w:r>
            <w:r>
              <w:rPr>
                <w:b w:val="0"/>
                <w:sz w:val="18"/>
              </w:rPr>
              <w:t>; product approval rules</w:t>
            </w:r>
          </w:p>
        </w:tc>
        <w:tc>
          <w:tcPr>
            <w:tcW w:type="dxa" w:w="3213"/>
          </w:tcPr>
          <w:p>
            <w:pPr>
              <w:spacing w:after="0"/>
            </w:pPr>
            <w:r>
              <w:rPr>
                <w:b w:val="0"/>
                <w:sz w:val="18"/>
              </w:rPr>
              <w:t>TX / SUP register</w:t>
            </w:r>
          </w:p>
        </w:tc>
      </w:tr>
      <w:tr>
        <w:tc>
          <w:tcPr>
            <w:tcW w:type="dxa" w:w="3213"/>
            <w:shd w:val="clear" w:color="auto" w:fill="F4F6F8"/>
          </w:tcPr>
          <w:p>
            <w:pPr>
              <w:spacing w:after="0"/>
            </w:pPr>
            <w:r>
              <w:rPr>
                <w:b w:val="0"/>
                <w:sz w:val="18"/>
              </w:rPr>
              <w:t>Money calculations</w:t>
            </w:r>
          </w:p>
        </w:tc>
        <w:tc>
          <w:tcPr>
            <w:tcW w:type="dxa" w:w="3213"/>
            <w:shd w:val="clear" w:color="auto" w:fill="F4F6F8"/>
          </w:tcPr>
          <w:p>
            <w:pPr>
              <w:spacing w:after="0"/>
            </w:pPr>
            <w:r>
              <w:rPr>
                <w:b w:val="0"/>
                <w:sz w:val="18"/>
              </w:rPr>
              <w:t xml:space="preserve">Commissions and margins, delivery-fee calculation, what </w:t>
            </w:r>
            <w:r>
              <w:rPr>
                <w:rFonts w:ascii="Consolas" w:hAnsi="Consolas"/>
                <w:b w:val="0"/>
                <w:color w:val="1F3A5F"/>
                <w:sz w:val="16"/>
              </w:rPr>
              <w:t>Order.totalAmount</w:t>
            </w:r>
            <w:r>
              <w:rPr>
                <w:b w:val="0"/>
                <w:sz w:val="18"/>
              </w:rPr>
              <w:t xml:space="preserve"> includes</w:t>
            </w:r>
          </w:p>
        </w:tc>
        <w:tc>
          <w:tcPr>
            <w:tcW w:type="dxa" w:w="3213"/>
            <w:shd w:val="clear" w:color="auto" w:fill="F4F6F8"/>
          </w:tcPr>
          <w:p>
            <w:pPr>
              <w:spacing w:after="0"/>
            </w:pPr>
            <w:r>
              <w:rPr>
                <w:b w:val="0"/>
                <w:sz w:val="18"/>
              </w:rPr>
              <w:t>TX register</w:t>
            </w:r>
          </w:p>
        </w:tc>
      </w:tr>
      <w:tr>
        <w:tc>
          <w:tcPr>
            <w:tcW w:type="dxa" w:w="3213"/>
          </w:tcPr>
          <w:p>
            <w:pPr>
              <w:spacing w:after="0"/>
            </w:pPr>
            <w:r>
              <w:rPr>
                <w:b w:val="0"/>
                <w:sz w:val="18"/>
              </w:rPr>
              <w:t>Policy enforcement</w:t>
            </w:r>
          </w:p>
        </w:tc>
        <w:tc>
          <w:tcPr>
            <w:tcW w:type="dxa" w:w="3213"/>
          </w:tcPr>
          <w:p>
            <w:pPr>
              <w:spacing w:after="0"/>
            </w:pPr>
            <w:r>
              <w:rPr>
                <w:b w:val="0"/>
                <w:sz w:val="18"/>
              </w:rPr>
              <w:t>Deadlines, automatic reminders, scheduled jobs, auto-expiry</w:t>
            </w:r>
          </w:p>
        </w:tc>
        <w:tc>
          <w:tcPr>
            <w:tcW w:type="dxa" w:w="3213"/>
          </w:tcPr>
          <w:p>
            <w:pPr>
              <w:spacing w:after="0"/>
            </w:pPr>
            <w:r>
              <w:rPr>
                <w:b w:val="0"/>
                <w:sz w:val="18"/>
              </w:rPr>
              <w:t>TX register</w:t>
            </w:r>
          </w:p>
        </w:tc>
      </w:tr>
      <w:tr>
        <w:tc>
          <w:tcPr>
            <w:tcW w:type="dxa" w:w="3213"/>
            <w:shd w:val="clear" w:color="auto" w:fill="F4F6F8"/>
          </w:tcPr>
          <w:p>
            <w:pPr>
              <w:spacing w:after="0"/>
            </w:pPr>
            <w:r>
              <w:rPr>
                <w:b w:val="0"/>
                <w:sz w:val="18"/>
              </w:rPr>
              <w:t>Data model</w:t>
            </w:r>
          </w:p>
        </w:tc>
        <w:tc>
          <w:tcPr>
            <w:tcW w:type="dxa" w:w="3213"/>
            <w:shd w:val="clear" w:color="auto" w:fill="F4F6F8"/>
          </w:tcPr>
          <w:p>
            <w:pPr>
              <w:spacing w:after="0"/>
            </w:pPr>
            <w:r>
              <w:rPr>
                <w:b w:val="0"/>
                <w:sz w:val="18"/>
              </w:rPr>
              <w:t>Migrations or new transaction-related fields (deposit, best-before date per line, refund records)</w:t>
            </w:r>
          </w:p>
        </w:tc>
        <w:tc>
          <w:tcPr>
            <w:tcW w:type="dxa" w:w="3213"/>
            <w:shd w:val="clear" w:color="auto" w:fill="F4F6F8"/>
          </w:tcPr>
          <w:p>
            <w:pPr>
              <w:spacing w:after="0"/>
            </w:pPr>
            <w:r>
              <w:rPr>
                <w:b w:val="0"/>
                <w:sz w:val="18"/>
              </w:rPr>
              <w:t>TX register</w:t>
            </w:r>
          </w:p>
        </w:tc>
      </w:tr>
      <w:tr>
        <w:tc>
          <w:tcPr>
            <w:tcW w:type="dxa" w:w="3213"/>
          </w:tcPr>
          <w:p>
            <w:pPr>
              <w:spacing w:after="0"/>
            </w:pPr>
            <w:r>
              <w:rPr>
                <w:b w:val="0"/>
                <w:sz w:val="18"/>
              </w:rPr>
              <w:t>Integrations</w:t>
            </w:r>
          </w:p>
        </w:tc>
        <w:tc>
          <w:tcPr>
            <w:tcW w:type="dxa" w:w="3213"/>
          </w:tcPr>
          <w:p>
            <w:pPr>
              <w:spacing w:after="0"/>
            </w:pPr>
            <w:r>
              <w:rPr>
                <w:b w:val="0"/>
                <w:sz w:val="18"/>
              </w:rPr>
              <w:t>New payment, banking, shipping/carrier, ERP or tax integrations</w:t>
            </w:r>
          </w:p>
        </w:tc>
        <w:tc>
          <w:tcPr>
            <w:tcW w:type="dxa" w:w="3213"/>
          </w:tcPr>
          <w:p>
            <w:pPr>
              <w:spacing w:after="0"/>
            </w:pPr>
            <w:r>
              <w:rPr>
                <w:b w:val="0"/>
                <w:sz w:val="18"/>
              </w:rPr>
              <w:t>PLT register</w:t>
            </w:r>
          </w:p>
        </w:tc>
      </w:tr>
      <w:tr>
        <w:tc>
          <w:tcPr>
            <w:tcW w:type="dxa" w:w="3213"/>
            <w:shd w:val="clear" w:color="auto" w:fill="F4F6F8"/>
          </w:tcPr>
          <w:p>
            <w:pPr>
              <w:spacing w:after="0"/>
            </w:pPr>
            <w:r>
              <w:rPr>
                <w:b w:val="0"/>
                <w:sz w:val="18"/>
              </w:rPr>
              <w:t>Permissions and security of transactional endpoints</w:t>
            </w:r>
          </w:p>
        </w:tc>
        <w:tc>
          <w:tcPr>
            <w:tcW w:type="dxa" w:w="3213"/>
            <w:shd w:val="clear" w:color="auto" w:fill="F4F6F8"/>
          </w:tcPr>
          <w:p>
            <w:pPr>
              <w:spacing w:after="0"/>
            </w:pPr>
            <w:r>
              <w:rPr>
                <w:b w:val="0"/>
                <w:sz w:val="18"/>
              </w:rPr>
              <w:t>Adding ownership or role checks to invoice, dispute, payment and order endpoints. These are urgent but change API behaviour, so the owner approves first</w:t>
            </w:r>
          </w:p>
        </w:tc>
        <w:tc>
          <w:tcPr>
            <w:tcW w:type="dxa" w:w="3213"/>
            <w:shd w:val="clear" w:color="auto" w:fill="F4F6F8"/>
          </w:tcPr>
          <w:p>
            <w:pPr>
              <w:spacing w:after="0"/>
            </w:pPr>
            <w:r>
              <w:rPr>
                <w:b w:val="0"/>
                <w:sz w:val="18"/>
              </w:rPr>
              <w:t>PLT / TX register</w:t>
            </w:r>
          </w:p>
        </w:tc>
      </w:tr>
      <w:tr>
        <w:tc>
          <w:tcPr>
            <w:tcW w:type="dxa" w:w="3213"/>
          </w:tcPr>
          <w:p>
            <w:pPr>
              <w:spacing w:after="0"/>
            </w:pPr>
            <w:r>
              <w:rPr>
                <w:b w:val="0"/>
                <w:sz w:val="18"/>
              </w:rPr>
              <w:t>Owner account</w:t>
            </w:r>
          </w:p>
        </w:tc>
        <w:tc>
          <w:tcPr>
            <w:tcW w:type="dxa" w:w="3213"/>
          </w:tcPr>
          <w:p>
            <w:pPr>
              <w:spacing w:after="0"/>
            </w:pPr>
            <w:r>
              <w:rPr>
                <w:b w:val="0"/>
                <w:sz w:val="18"/>
              </w:rPr>
              <w:t xml:space="preserve">The owner/admin account, its role, its permissions and </w:t>
            </w:r>
            <w:r>
              <w:rPr>
                <w:rFonts w:ascii="Consolas" w:hAnsi="Consolas"/>
                <w:b w:val="0"/>
                <w:color w:val="1F3A5F"/>
                <w:sz w:val="16"/>
              </w:rPr>
              <w:t>/admin/owner</w:t>
            </w:r>
          </w:p>
        </w:tc>
        <w:tc>
          <w:tcPr>
            <w:tcW w:type="dxa" w:w="3213"/>
          </w:tcPr>
          <w:p>
            <w:pPr>
              <w:spacing w:after="0"/>
            </w:pPr>
            <w:r>
              <w:rPr>
                <w:b w:val="0"/>
                <w:sz w:val="18"/>
              </w:rPr>
              <w:t>—</w:t>
            </w:r>
          </w:p>
        </w:tc>
      </w:tr>
    </w:tbl>
    <w:p>
      <w:pPr>
        <w:spacing w:after="40"/>
      </w:pPr>
    </w:p>
    <w:p>
      <w:pPr>
        <w:pStyle w:val="Heading2"/>
      </w:pPr>
      <w:r>
        <w:rPr>
          <w:b w:val="0"/>
        </w:rPr>
        <w:t>Why the security fixes sit in B</w:t>
      </w:r>
    </w:p>
    <w:p>
      <w:r>
        <w:rPr>
          <w:b w:val="0"/>
        </w:rPr>
        <w:t>Several findings are access-control gaps on transactional endpoints (for example invoices readable or markable as paid by any signed-in user). They are the most urgent items in the register. Fixing them changes who may call an endpoint, which is a permission change on money-related behaviour, so this phase records them with a ready-to-implement recommendation instead of changing them silently.</w:t>
      </w:r>
    </w:p>
    <w:p>
      <w:pPr>
        <w:pStyle w:val="Heading1"/>
      </w:pPr>
      <w:r>
        <w:rPr>
          <w:b w:val="0"/>
        </w:rPr>
        <w:t>How the boundary was applied to specific designs</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3213"/>
            <w:shd w:val="clear" w:color="auto" w:fill="0A1A2F"/>
          </w:tcPr>
          <w:p>
            <w:pPr>
              <w:spacing w:after="0"/>
            </w:pPr>
            <w:r>
              <w:rPr>
                <w:b/>
                <w:color w:val="FFFFFF"/>
                <w:sz w:val="18"/>
              </w:rPr>
              <w:t>Design</w:t>
            </w:r>
          </w:p>
        </w:tc>
        <w:tc>
          <w:tcPr>
            <w:tcW w:type="dxa" w:w="3213"/>
            <w:shd w:val="clear" w:color="auto" w:fill="0A1A2F"/>
          </w:tcPr>
          <w:p>
            <w:pPr>
              <w:spacing w:after="0"/>
            </w:pPr>
            <w:r>
              <w:rPr>
                <w:b/>
                <w:color w:val="FFFFFF"/>
                <w:sz w:val="18"/>
              </w:rPr>
              <w:t>Safe part implemented</w:t>
            </w:r>
          </w:p>
        </w:tc>
        <w:tc>
          <w:tcPr>
            <w:tcW w:type="dxa" w:w="3213"/>
            <w:shd w:val="clear" w:color="auto" w:fill="0A1A2F"/>
          </w:tcPr>
          <w:p>
            <w:pPr>
              <w:spacing w:after="0"/>
            </w:pPr>
            <w:r>
              <w:rPr>
                <w:b/>
                <w:color w:val="FFFFFF"/>
                <w:sz w:val="18"/>
              </w:rPr>
              <w:t>Part left unchanged and why</w:t>
            </w:r>
          </w:p>
        </w:tc>
      </w:tr>
      <w:tr>
        <w:tc>
          <w:tcPr>
            <w:tcW w:type="dxa" w:w="3213"/>
          </w:tcPr>
          <w:p>
            <w:pPr>
              <w:spacing w:after="0"/>
            </w:pPr>
            <w:r>
              <w:rPr>
                <w:b w:val="0"/>
                <w:sz w:val="18"/>
              </w:rPr>
              <w:t>Order cards and order page</w:t>
            </w:r>
          </w:p>
        </w:tc>
        <w:tc>
          <w:tcPr>
            <w:tcW w:type="dxa" w:w="3213"/>
          </w:tcPr>
          <w:p>
            <w:pPr>
              <w:spacing w:after="0"/>
            </w:pPr>
            <w:r>
              <w:rPr>
                <w:b w:val="0"/>
                <w:sz w:val="18"/>
              </w:rPr>
              <w:t>Recorded status, stages from recorded data, packaging, EXW, delivery summary, payment badge only when a payment status is recorded</w:t>
            </w:r>
          </w:p>
        </w:tc>
        <w:tc>
          <w:tcPr>
            <w:tcW w:type="dxa" w:w="3213"/>
          </w:tcPr>
          <w:p>
            <w:pPr>
              <w:spacing w:after="0"/>
            </w:pPr>
            <w:r>
              <w:rPr>
                <w:b w:val="0"/>
                <w:sz w:val="18"/>
              </w:rPr>
              <w:t>No deposit row (no deposit exists in the data); no per-delivery best-before date (not stored); "Shelf life" shown as the product's listing value, not as a BBD</w:t>
            </w:r>
          </w:p>
        </w:tc>
      </w:tr>
      <w:tr>
        <w:tc>
          <w:tcPr>
            <w:tcW w:type="dxa" w:w="3213"/>
            <w:shd w:val="clear" w:color="auto" w:fill="F4F6F8"/>
          </w:tcPr>
          <w:p>
            <w:pPr>
              <w:spacing w:after="0"/>
            </w:pPr>
            <w:r>
              <w:rPr>
                <w:b w:val="0"/>
                <w:sz w:val="18"/>
              </w:rPr>
              <w:t>Order page — dispute</w:t>
            </w:r>
          </w:p>
        </w:tc>
        <w:tc>
          <w:tcPr>
            <w:tcW w:type="dxa" w:w="3213"/>
            <w:shd w:val="clear" w:color="auto" w:fill="F4F6F8"/>
          </w:tcPr>
          <w:p>
            <w:pPr>
              <w:spacing w:after="0"/>
            </w:pPr>
            <w:r>
              <w:rPr>
                <w:b w:val="0"/>
                <w:sz w:val="18"/>
              </w:rPr>
              <w:t xml:space="preserve">The existing dispute form (same </w:t>
            </w:r>
            <w:r>
              <w:rPr>
                <w:rFonts w:ascii="Consolas" w:hAnsi="Consolas"/>
                <w:b w:val="0"/>
                <w:color w:val="1F3A5F"/>
                <w:sz w:val="16"/>
              </w:rPr>
              <w:t>POST /disputes</w:t>
            </w:r>
            <w:r>
              <w:rPr>
                <w:b w:val="0"/>
                <w:sz w:val="18"/>
              </w:rPr>
              <w:t xml:space="preserve"> call, same eligibility as before), restyled and localized; reasons still stored in English for staff</w:t>
            </w:r>
          </w:p>
        </w:tc>
        <w:tc>
          <w:tcPr>
            <w:tcW w:type="dxa" w:w="3213"/>
            <w:shd w:val="clear" w:color="auto" w:fill="F4F6F8"/>
          </w:tcPr>
          <w:p>
            <w:pPr>
              <w:spacing w:after="0"/>
            </w:pPr>
            <w:r>
              <w:rPr>
                <w:b w:val="0"/>
                <w:sz w:val="18"/>
              </w:rPr>
              <w:t>No new eligibility rule, no 7-day enforcement, no SLA promise (the old "24–48 hours" success text contradicted the published 48–72 h and was removed rather than guessed)</w:t>
            </w:r>
          </w:p>
        </w:tc>
      </w:tr>
      <w:tr>
        <w:tc>
          <w:tcPr>
            <w:tcW w:type="dxa" w:w="3213"/>
          </w:tcPr>
          <w:p>
            <w:pPr>
              <w:spacing w:after="0"/>
            </w:pPr>
            <w:r>
              <w:rPr>
                <w:b w:val="0"/>
                <w:sz w:val="18"/>
              </w:rPr>
              <w:t>Payments &amp; invoices (new, read-only)</w:t>
            </w:r>
          </w:p>
        </w:tc>
        <w:tc>
          <w:tcPr>
            <w:tcW w:type="dxa" w:w="3213"/>
          </w:tcPr>
          <w:p>
            <w:pPr>
              <w:spacing w:after="0"/>
            </w:pPr>
            <w:r>
              <w:rPr>
                <w:b w:val="0"/>
                <w:sz w:val="18"/>
              </w:rPr>
              <w:t>Invoices, recorded payment status per order, disputes and their resolution notes</w:t>
            </w:r>
          </w:p>
        </w:tc>
        <w:tc>
          <w:tcPr>
            <w:tcW w:type="dxa" w:w="3213"/>
          </w:tcPr>
          <w:p>
            <w:pPr>
              <w:spacing w:after="0"/>
            </w:pPr>
            <w:r>
              <w:rPr>
                <w:b w:val="0"/>
                <w:sz w:val="18"/>
              </w:rPr>
              <w:t>No "Pay now", no refund request, no payment method capture; invoice amounts shown in the invoice's own recorded currency, unconverted</w:t>
            </w:r>
          </w:p>
        </w:tc>
      </w:tr>
      <w:tr>
        <w:tc>
          <w:tcPr>
            <w:tcW w:type="dxa" w:w="3213"/>
            <w:shd w:val="clear" w:color="auto" w:fill="F4F6F8"/>
          </w:tcPr>
          <w:p>
            <w:pPr>
              <w:spacing w:after="0"/>
            </w:pPr>
            <w:r>
              <w:rPr>
                <w:b w:val="0"/>
                <w:sz w:val="18"/>
              </w:rPr>
              <w:t>Returns &amp; Refunds</w:t>
            </w:r>
          </w:p>
        </w:tc>
        <w:tc>
          <w:tcPr>
            <w:tcW w:type="dxa" w:w="3213"/>
            <w:shd w:val="clear" w:color="auto" w:fill="F4F6F8"/>
          </w:tcPr>
          <w:p>
            <w:pPr>
              <w:spacing w:after="0"/>
            </w:pPr>
            <w:r>
              <w:rPr>
                <w:b w:val="0"/>
                <w:sz w:val="18"/>
              </w:rPr>
              <w:t>Layout, motion, localization, and the reporting path corrected to the existing dispute form</w:t>
            </w:r>
          </w:p>
        </w:tc>
        <w:tc>
          <w:tcPr>
            <w:tcW w:type="dxa" w:w="3213"/>
            <w:shd w:val="clear" w:color="auto" w:fill="F4F6F8"/>
          </w:tcPr>
          <w:p>
            <w:pPr>
              <w:spacing w:after="0"/>
            </w:pPr>
            <w:r>
              <w:rPr>
                <w:b w:val="0"/>
                <w:sz w:val="18"/>
              </w:rPr>
              <w:t>Timelines (48–72 h, 1–3 and 5–10 days) and fees are the published policy, shown as policy; they are not enforced by code (documented)</w:t>
            </w:r>
          </w:p>
        </w:tc>
      </w:tr>
      <w:tr>
        <w:tc>
          <w:tcPr>
            <w:tcW w:type="dxa" w:w="3213"/>
          </w:tcPr>
          <w:p>
            <w:pPr>
              <w:spacing w:after="0"/>
            </w:pPr>
            <w:r>
              <w:rPr>
                <w:b w:val="0"/>
                <w:sz w:val="18"/>
              </w:rPr>
              <w:t>Delivery breakdown</w:t>
            </w:r>
          </w:p>
        </w:tc>
        <w:tc>
          <w:tcPr>
            <w:tcW w:type="dxa" w:w="3213"/>
          </w:tcPr>
          <w:p>
            <w:pPr>
              <w:spacing w:after="0"/>
            </w:pPr>
            <w:r>
              <w:rPr>
                <w:b w:val="0"/>
                <w:sz w:val="18"/>
              </w:rPr>
              <w:t>Buyer-voiced method names and responsibility text by method</w:t>
            </w:r>
          </w:p>
        </w:tc>
        <w:tc>
          <w:tcPr>
            <w:tcW w:type="dxa" w:w="3213"/>
          </w:tcPr>
          <w:p>
            <w:pPr>
              <w:spacing w:after="0"/>
            </w:pPr>
            <w:r>
              <w:rPr>
                <w:b w:val="0"/>
                <w:sz w:val="18"/>
              </w:rPr>
              <w:t>Charge labels, bases and "quote required" reasons are composed by the server in English; changing them is a server change</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70"/>
        <w:sz w:val="17"/>
      </w:rPr>
      <w:t xml:space="preserve">Page </w:t>
    </w:r>
    <w:r>
      <w:fldChar w:fldCharType="begin"/>
    </w:r>
    <w:r>
      <w:instrText xml:space="preserve">PAGE</w:instrText>
    </w:r>
    <w:r>
      <w:fldChar w:fldCharType="separate"/>
    </w:r>
    <w:r>
      <w:rPr>
        <w:sz w:val="17"/>
      </w:rPr>
      <w:t>1</w:t>
    </w:r>
    <w:r>
      <w:fldChar w:fldCharType="end"/>
    </w:r>
    <w:r>
      <w:rPr>
        <w:color w:val="556070"/>
        <w:sz w:val="17"/>
      </w:rPr>
      <w:t xml:space="preserve"> of </w:t>
    </w:r>
    <w:r>
      <w:fldChar w:fldCharType="begin"/>
    </w:r>
    <w:r>
      <w:instrText xml:space="preserve">NUMPAGES</w:instrText>
    </w:r>
    <w:r>
      <w:fldChar w:fldCharType="separate"/>
    </w:r>
    <w:r>
      <w:rPr>
        <w:sz w:val="17"/>
      </w:rPr>
      <w:t>1</w:t>
    </w:r>
    <w:r>
      <w:fldChar w:fldCharType="end"/>
    </w:r>
    <w:r>
      <w:rPr>
        <w:color w:val="556070"/>
        <w:sz w:val="17"/>
      </w:rPr>
      <w:t xml:space="preserve">   ·   Internal — contains security findings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56070"/>
        <w:sz w:val="17"/>
      </w:rPr>
      <w:t>Atlantis FMCG Marketplace  ·  Design vs Systems Boundary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Arial" w:hAnsi="Arial"/>
      <w:b/>
      <w:bCs/>
      <w:color w:val="0A1A2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b/>
      <w:bCs/>
      <w:color w:val="0A1A2F"/>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Arial" w:hAnsi="Arial"/>
      <w:b/>
      <w:bCs/>
      <w:color w:val="0E7C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spacing w:after="6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vs Systems Boundary</dc:title>
  <dc:subject>What may be built now, and what waits for owner approval</dc:subject>
  <dc:creator>Atlantis marketplace audit</dc:creator>
  <cp:keywords/>
  <dc:description>generated by python-docx</dc:description>
  <cp:lastModifiedBy/>
  <cp:revision>1</cp:revision>
  <dcterms:created xsi:type="dcterms:W3CDTF">2013-12-23T23:15:00Z</dcterms:created>
  <dcterms:modified xsi:type="dcterms:W3CDTF">2013-12-23T23:15:00Z</dcterms:modified>
  <cp:category/>
</cp:coreProperties>
</file>