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896"/>
        <w:pBdr/>
        <w:shd w:val="clear" w:color="auto" w:fill="auto"/>
        <w:spacing/>
        <w:ind/>
        <w:jc w:val="center"/>
        <w:rPr>
          <w:rFonts w:ascii="Times New Roman" w:hAnsi="Times New Roman" w:cs="Times New Roman"/>
          <w:b w:val="0"/>
          <w:bCs w:val="0"/>
          <w:color w:val="000000"/>
          <w:sz w:val="36"/>
          <w:szCs w:val="36"/>
          <w:shd w:val="clear" w:color="auto" w:fill="auto"/>
        </w:rPr>
      </w:pPr>
      <w:r>
        <w:rPr>
          <w:rFonts w:ascii="Times New Roman" w:hAnsi="Times New Roman" w:eastAsia="Times New Roman" w:cs="Times New Roman"/>
          <w:b w:val="0"/>
          <w:bCs w:val="0"/>
          <w:color w:val="000000"/>
          <w:sz w:val="36"/>
          <w:szCs w:val="36"/>
          <w:shd w:val="clear" w:color="auto" w:fill="auto"/>
          <w:rtl w:val="0"/>
        </w:rPr>
        <w:t xml:space="preserve">Manifold Learning-Based Prediction and Stability Analysis of Lentil (</w:t>
      </w:r>
      <w:r>
        <w:rPr>
          <w:rFonts w:ascii="Times New Roman" w:hAnsi="Times New Roman" w:eastAsia="Times New Roman" w:cs="Times New Roman"/>
          <w:b w:val="0"/>
          <w:bCs w:val="0"/>
          <w:i/>
          <w:iCs/>
          <w:color w:val="000000"/>
          <w:sz w:val="36"/>
          <w:szCs w:val="36"/>
          <w:shd w:val="clear" w:color="auto" w:fill="auto"/>
          <w:rtl w:val="0"/>
        </w:rPr>
        <w:t xml:space="preserve">Lens culinaris Medik.</w:t>
      </w:r>
      <w:r>
        <w:rPr>
          <w:rFonts w:ascii="Times New Roman" w:hAnsi="Times New Roman" w:eastAsia="Times New Roman" w:cs="Times New Roman"/>
          <w:b w:val="0"/>
          <w:bCs w:val="0"/>
          <w:color w:val="000000"/>
          <w:sz w:val="36"/>
          <w:szCs w:val="36"/>
          <w:shd w:val="clear" w:color="auto" w:fill="auto"/>
          <w:rtl w:val="0"/>
        </w:rPr>
        <w:t xml:space="preserve">) Grain Yield Across Multiple Environments in Drought Condition</w:t>
      </w:r>
      <w:r>
        <w:rPr>
          <w:rFonts w:ascii="Times New Roman" w:hAnsi="Times New Roman" w:cs="Times New Roman"/>
          <w:b w:val="0"/>
          <w:bCs w:val="0"/>
          <w:color w:val="000000"/>
          <w:sz w:val="36"/>
          <w:szCs w:val="36"/>
          <w:shd w:val="clear" w:color="auto" w:fill="auto"/>
        </w:rPr>
      </w:r>
      <w:r>
        <w:rPr>
          <w:rFonts w:ascii="Times New Roman" w:hAnsi="Times New Roman" w:cs="Times New Roman"/>
          <w:b w:val="0"/>
          <w:bCs w:val="0"/>
          <w:color w:val="000000"/>
          <w:sz w:val="36"/>
          <w:szCs w:val="36"/>
          <w:shd w:val="clear" w:color="auto" w:fill="auto"/>
        </w:rPr>
      </w:r>
    </w:p>
    <w:p w14:paraId="00000002">
      <w:pPr>
        <w:pBdr/>
        <w:shd w:val="clear" w:color="auto" w:fill="auto"/>
        <w:spacing/>
        <w:ind/>
        <w:jc w:val="both"/>
        <w:rPr>
          <w:rFonts w:ascii="Times New Roman" w:hAnsi="Times New Roman" w:cs="Times New Roman"/>
          <w:i/>
          <w:iCs/>
          <w:color w:val="000000"/>
          <w:shd w:val="clear" w:color="auto" w:fill="auto"/>
        </w:rPr>
      </w:pPr>
      <w:r>
        <w:rPr>
          <w:rFonts w:ascii="Times New Roman" w:hAnsi="Times New Roman" w:eastAsia="Times New Roman" w:cs="Times New Roman"/>
          <w:rtl w:val="0"/>
        </w:rPr>
      </w:r>
      <w:r>
        <w:rPr>
          <w:rFonts w:ascii="Times New Roman" w:hAnsi="Times New Roman" w:cs="Times New Roman"/>
          <w:i/>
          <w:iCs/>
          <w:color w:val="000000"/>
          <w:shd w:val="clear" w:color="auto" w:fill="auto"/>
        </w:rPr>
      </w:r>
      <w:r>
        <w:rPr>
          <w:rFonts w:ascii="Times New Roman" w:hAnsi="Times New Roman" w:cs="Times New Roman"/>
          <w:i/>
          <w:iCs/>
          <w:color w:val="000000"/>
          <w:shd w:val="clear" w:color="auto" w:fill="auto"/>
        </w:rPr>
      </w:r>
    </w:p>
    <w:p w14:paraId="0CA9D1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bCs/>
          <w:i/>
          <w:iCs/>
          <w:rtl w:val="0"/>
        </w:rPr>
        <w:t xml:space="preserve">Abstract—</w:t>
      </w:r>
      <w:r>
        <w:rPr>
          <w:rFonts w:ascii="Times New Roman" w:hAnsi="Times New Roman" w:eastAsia="Times New Roman" w:cs="Times New Roman"/>
          <w:i/>
          <w:iCs/>
        </w:rPr>
        <w:t xml:space="preserve">Prediction of lentil (Lens culinaris Medik.) grain yield in different environments is still challenging due to the complexity of genotype × environment interaction and the nonlinear nature of agronomic traits. We combined manifold learning, machine learnin</w:t>
      </w:r>
      <w:r>
        <w:rPr>
          <w:rFonts w:ascii="Times New Roman" w:hAnsi="Times New Roman" w:eastAsia="Times New Roman" w:cs="Times New Roman"/>
          <w:i/>
          <w:iCs/>
        </w:rPr>
        <w:t xml:space="preserve">g, explainable AI (XAI), and genotype stability analysis to evaluate lentil performance under drought-prone conditions in northern Bangladesh. UMAP and t-SNE based on 150 observations on ten genotypes from five environments revealed trait patterns and envi</w:t>
      </w:r>
      <w:r>
        <w:rPr>
          <w:rFonts w:ascii="Times New Roman" w:hAnsi="Times New Roman" w:eastAsia="Times New Roman" w:cs="Times New Roman"/>
          <w:i/>
          <w:iCs/>
        </w:rPr>
        <w:t xml:space="preserve">ronmental groupings. The model performance was assessed by cross-validating twelve regression models and the best performing algorithm was chosen using nested cross-validation . The best algorithm was the ridge regression with test R2 of 0.8072 and root me</w:t>
      </w:r>
      <w:r>
        <w:rPr>
          <w:rFonts w:ascii="Times New Roman" w:hAnsi="Times New Roman" w:eastAsia="Times New Roman" w:cs="Times New Roman"/>
          <w:i/>
          <w:iCs/>
        </w:rPr>
        <w:t xml:space="preserve">an square error (RMSE) of 183.77 kg/ha. The model had good generalization ability from cross-validation (R2 = 0.7289 ± 0.0177). SHAP analysis indicated that DF_BP_Interaction and TSW were important for predicting yield. The AMMI and GGE biplot analyses sug</w:t>
      </w:r>
      <w:r>
        <w:rPr>
          <w:rFonts w:ascii="Times New Roman" w:hAnsi="Times New Roman" w:eastAsia="Times New Roman" w:cs="Times New Roman"/>
          <w:i/>
          <w:iCs/>
        </w:rPr>
        <w:t xml:space="preserve">gested G71 and G63 as relatively stable genotypes, while the G49 genotype had the highest average yield (1682.28 kg/ha) but only moderate stability. The GGE biplot also seemed to split the site into two mega-environments and Shyampur (L2) had the highest m</w:t>
      </w:r>
      <w:r>
        <w:rPr>
          <w:rFonts w:ascii="Times New Roman" w:hAnsi="Times New Roman" w:eastAsia="Times New Roman" w:cs="Times New Roman"/>
          <w:i/>
          <w:iCs/>
        </w:rPr>
        <w:t xml:space="preserve">ean yield (1705.5 kg/ha). In summary, interpretable machine learning combined with stability analysis could improve genotype selection and yield prediction.</w:t>
      </w:r>
      <w:r/>
    </w:p>
    <w:p w14:paraId="589064F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b/>
          <w:bCs/>
          <w:i/>
          <w:iCs/>
          <w:rtl w:val="0"/>
        </w:rPr>
      </w:r>
      <w:r>
        <w:rPr>
          <w:rFonts w:ascii="Times New Roman" w:hAnsi="Times New Roman" w:eastAsia="Times New Roman" w:cs="Times New Roman"/>
          <w:sz w:val="24"/>
        </w:rPr>
      </w:r>
      <w:r/>
    </w:p>
    <w:p w14:paraId="00000004">
      <w:pPr>
        <w:pBdr/>
        <w:shd w:val="clear" w:color="auto" w:fill="auto"/>
        <w:spacing/>
        <w:ind/>
        <w:rPr>
          <w:rFonts w:ascii="Times New Roman" w:hAnsi="Times New Roman" w:cs="Times New Roman"/>
          <w:i/>
          <w:iCs/>
          <w:color w:val="000000"/>
          <w:shd w:val="clear" w:color="auto" w:fill="auto"/>
        </w:rPr>
      </w:pPr>
      <w:r>
        <w:rPr>
          <w:rFonts w:ascii="Times New Roman" w:hAnsi="Times New Roman" w:eastAsia="Times New Roman" w:cs="Times New Roman"/>
          <w:b/>
          <w:bCs/>
          <w:i/>
          <w:iCs/>
          <w:color w:val="000000"/>
          <w:shd w:val="clear" w:color="auto" w:fill="auto"/>
          <w:rtl w:val="0"/>
        </w:rPr>
        <w:t xml:space="preserve">Keywords—</w:t>
      </w:r>
      <w:r>
        <w:rPr>
          <w:rFonts w:ascii="Times New Roman" w:hAnsi="Times New Roman" w:eastAsia="Times New Roman" w:cs="Times New Roman"/>
          <w:i/>
          <w:iCs/>
          <w:rtl w:val="0"/>
        </w:rPr>
        <w:t xml:space="preserve">Lentil</w:t>
      </w:r>
      <w:r>
        <w:rPr>
          <w:rFonts w:ascii="Times New Roman" w:hAnsi="Times New Roman" w:eastAsia="Times New Roman" w:cs="Times New Roman"/>
          <w:i/>
          <w:iCs/>
          <w:color w:val="000000"/>
          <w:shd w:val="clear" w:color="auto" w:fill="auto"/>
          <w:rtl w:val="0"/>
        </w:rPr>
        <w:t xml:space="preserve"> yield prediction, machine learning, SHAP, AMMI/GGE biplot, stability analysis, </w:t>
      </w:r>
      <w:r>
        <w:rPr>
          <w:rFonts w:ascii="Times New Roman" w:hAnsi="Times New Roman" w:eastAsia="Times New Roman" w:cs="Times New Roman"/>
          <w:i/>
          <w:iCs/>
          <w:rtl w:val="0"/>
        </w:rPr>
        <w:t xml:space="preserve">yield</w:t>
      </w:r>
      <w:r>
        <w:rPr>
          <w:rFonts w:ascii="Times New Roman" w:hAnsi="Times New Roman" w:eastAsia="Times New Roman" w:cs="Times New Roman"/>
          <w:i/>
          <w:iCs/>
          <w:color w:val="000000"/>
          <w:shd w:val="clear" w:color="auto" w:fill="auto"/>
          <w:rtl w:val="0"/>
        </w:rPr>
        <w:t xml:space="preserve"> stability analysis, </w:t>
      </w:r>
      <w:r>
        <w:rPr>
          <w:rFonts w:ascii="Times New Roman" w:hAnsi="Times New Roman" w:eastAsia="Times New Roman" w:cs="Times New Roman"/>
          <w:i/>
          <w:iCs/>
          <w:rtl w:val="0"/>
        </w:rPr>
        <w:t xml:space="preserve">ridge regression.</w:t>
      </w:r>
      <w:r>
        <w:rPr>
          <w:rFonts w:ascii="Times New Roman" w:hAnsi="Times New Roman" w:cs="Times New Roman"/>
          <w:i/>
          <w:iCs/>
          <w:color w:val="000000"/>
          <w:shd w:val="clear" w:color="auto" w:fill="auto"/>
        </w:rPr>
      </w:r>
      <w:r>
        <w:rPr>
          <w:rFonts w:ascii="Times New Roman" w:hAnsi="Times New Roman" w:cs="Times New Roman"/>
          <w:i/>
          <w:iCs/>
          <w:color w:val="000000"/>
          <w:shd w:val="clear" w:color="auto" w:fill="auto"/>
        </w:rPr>
      </w:r>
    </w:p>
    <w:p w14:paraId="00000005">
      <w:pPr>
        <w:pStyle w:val="890"/>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0" w:name="dikmapqz098w"/>
      <w:r>
        <w:rPr>
          <w:rFonts w:ascii="Times New Roman" w:hAnsi="Times New Roman" w:eastAsia="Times New Roman" w:cs="Times New Roman"/>
        </w:rPr>
      </w:r>
      <w:bookmarkEnd w:id="0"/>
      <w:r>
        <w:rPr>
          <w:rFonts w:ascii="Times New Roman" w:hAnsi="Times New Roman" w:eastAsia="Times New Roman" w:cs="Times New Roman"/>
          <w:color w:val="000000"/>
          <w:shd w:val="clear" w:color="auto" w:fill="auto"/>
          <w:rtl w:val="0"/>
        </w:rPr>
        <w:t xml:space="preserve">1. Introduction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06">
      <w:pPr>
        <w:pBdr/>
        <w:shd w:val="clear" w:color="auto" w:fill="auto"/>
        <w:spacing/>
        <w:ind/>
        <w:rPr>
          <w:rFonts w:ascii="Times New Roman" w:hAnsi="Times New Roman" w:cs="Times New Roman"/>
          <w:color w:val="000000"/>
          <w:shd w:val="clear" w:color="auto" w:fill="auto"/>
        </w:rPr>
      </w:pPr>
      <w:r>
        <w:rPr>
          <w:rFonts w:ascii="Times New Roman" w:hAnsi="Times New Roman" w:eastAsia="Times New Roman" w:cs="Times New Roman"/>
          <w:rtl w:val="0"/>
        </w:rPr>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07">
      <w:pPr>
        <w:pBdr/>
        <w:shd w:val="clear" w:color="auto" w:fill="auto"/>
        <w:spacing/>
        <w:ind/>
        <w:jc w:val="both"/>
        <w:rPr>
          <w:rFonts w:ascii="Times New Roman" w:hAnsi="Times New Roman" w:cs="Times New Roman"/>
        </w:rPr>
      </w:pPr>
      <w:r>
        <w:rPr>
          <w:rFonts w:ascii="Times New Roman" w:hAnsi="Times New Roman" w:eastAsia="Times New Roman" w:cs="Times New Roman"/>
          <w:color w:val="000000"/>
          <w:shd w:val="clear" w:color="auto" w:fill="auto"/>
          <w:rtl w:val="0"/>
        </w:rPr>
        <w:t xml:space="preserve">A tiny disk-shaped seed known as a lentil thrives when temperatures drop. spreading through temperate zones thanks to its rich supply of protein, dietary fiber, and essential vitamins that help balance glucose in the </w:t>
      </w:r>
      <w:r>
        <w:rPr>
          <w:rFonts w:ascii="Times New Roman" w:hAnsi="Times New Roman" w:eastAsia="Times New Roman" w:cs="Times New Roman"/>
          <w:rtl w:val="0"/>
        </w:rPr>
        <w:t xml:space="preserve">bloodstream [27].</w:t>
      </w:r>
      <w:r>
        <w:rPr>
          <w:rFonts w:ascii="Times New Roman" w:hAnsi="Times New Roman" w:eastAsia="Times New Roman" w:cs="Times New Roman"/>
          <w:color w:val="000000"/>
          <w:shd w:val="clear" w:color="auto" w:fill="auto"/>
          <w:rtl w:val="0"/>
        </w:rPr>
        <w:t xml:space="preserve"> Since these crops capture atmospheric nitrogen, improving soil quality naturally, they slot smoothly into farming systems dependent on seasonal rains, particularly in worn-out earth needing fresh life and diverse planting patterns</w:t>
      </w:r>
      <w:r>
        <w:rPr>
          <w:rFonts w:ascii="Times New Roman" w:hAnsi="Times New Roman" w:eastAsia="Times New Roman" w:cs="Times New Roman"/>
          <w:rtl w:val="0"/>
        </w:rPr>
        <w:t xml:space="preserve"> [3], [9]</w:t>
      </w:r>
      <w:r>
        <w:rPr>
          <w:rFonts w:ascii="Times New Roman" w:hAnsi="Times New Roman" w:eastAsia="Times New Roman" w:cs="Times New Roman"/>
          <w:color w:val="000000"/>
          <w:shd w:val="clear" w:color="auto" w:fill="auto"/>
          <w:rtl w:val="0"/>
        </w:rPr>
        <w:t xml:space="preserve">. </w:t>
      </w:r>
      <w:r>
        <w:rPr>
          <w:rFonts w:ascii="Times New Roman" w:hAnsi="Times New Roman" w:eastAsia="Times New Roman" w:cs="Times New Roman"/>
          <w:rtl w:val="0"/>
        </w:rPr>
        <w:t xml:space="preserve">With worldwide interest i</w:t>
      </w:r>
      <w:r>
        <w:rPr>
          <w:rFonts w:ascii="Times New Roman" w:hAnsi="Times New Roman" w:eastAsia="Times New Roman" w:cs="Times New Roman"/>
          <w:rtl w:val="0"/>
        </w:rPr>
        <w:t xml:space="preserve">ncreasing in vegetable-based nourishment and more powerful diets, researchers now drive harder harvests of lentils forward in experimental plots and controlled environments worldwide. And still, each field's output is tightly tied to complex webs: genetic </w:t>
      </w:r>
      <w:r>
        <w:rPr>
          <w:rFonts w:ascii="Times New Roman" w:hAnsi="Times New Roman" w:eastAsia="Times New Roman" w:cs="Times New Roman"/>
          <w:rtl w:val="0"/>
        </w:rPr>
        <w:t xml:space="preserve">traits slamming into rain cycles, physical characteristics folding together weirdly, and weather suddenly veering off course. Simple tools like linear models hit a limit when data curves rather than moves in a line. These older ways want things neat, and s</w:t>
      </w:r>
      <w:r>
        <w:rPr>
          <w:rFonts w:ascii="Times New Roman" w:hAnsi="Times New Roman" w:eastAsia="Times New Roman" w:cs="Times New Roman"/>
          <w:rtl w:val="0"/>
        </w:rPr>
        <w:t xml:space="preserve">o they wrestle with the actual messiness. Predictions for things such as what crops to plant, or how to adjust fields, fall flat without flexibility. That rigidity turns subtle signals into guesswork. Results are fuzzy when precision counts most [1], [12].</w:t>
      </w:r>
      <w:r>
        <w:rPr>
          <w:rFonts w:ascii="Times New Roman" w:hAnsi="Times New Roman" w:cs="Times New Roman"/>
        </w:rPr>
      </w:r>
      <w:r>
        <w:rPr>
          <w:rFonts w:ascii="Times New Roman" w:hAnsi="Times New Roman" w:cs="Times New Roman"/>
        </w:rPr>
      </w:r>
    </w:p>
    <w:p w14:paraId="00000008">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Things are tense, different, out in the fields of Bangladesh. When the rains fail for weeks on end, farming becomes a gamble no one can win. Normal seeds like wheat, rice, or even beans often don't sprout or yield anything worth harvesting in thi</w:t>
      </w:r>
      <w:r>
        <w:rPr>
          <w:rFonts w:ascii="Times New Roman" w:hAnsi="Times New Roman" w:eastAsia="Times New Roman" w:cs="Times New Roman"/>
          <w:rtl w:val="0"/>
        </w:rPr>
        <w:t xml:space="preserve">s arid environment. But lentils, somehow, make it when most plants fail. They survive where others fall. Lentils are cultivated in dry lands across Bangladesh [10]. This one keeps bearing where other seeds fail. That edge hints at its role in adapting to t</w:t>
      </w:r>
      <w:r>
        <w:rPr>
          <w:rFonts w:ascii="Times New Roman" w:hAnsi="Times New Roman" w:eastAsia="Times New Roman" w:cs="Times New Roman"/>
          <w:rtl w:val="0"/>
        </w:rPr>
        <w:t xml:space="preserve">ough weather patterns across the nation. Now my work is looking beyond just how much is harvested. What matters is knowing which lentil varieties stay stable as conditions change from place to place. Some cope better with drought; this study closely tracks</w:t>
      </w:r>
      <w:r>
        <w:rPr>
          <w:rFonts w:ascii="Times New Roman" w:hAnsi="Times New Roman" w:eastAsia="Times New Roman" w:cs="Times New Roman"/>
          <w:rtl w:val="0"/>
        </w:rPr>
        <w:t xml:space="preserve"> those differences. Consistency is when a variety produces similar yields with little rain. Once soils dry out, the performance gaps show up. Each place offers more clues to resilience. One kind may thrive, others may die out. The real test is consistent r</w:t>
      </w:r>
      <w:r>
        <w:rPr>
          <w:rFonts w:ascii="Times New Roman" w:hAnsi="Times New Roman" w:eastAsia="Times New Roman" w:cs="Times New Roman"/>
          <w:rtl w:val="0"/>
        </w:rPr>
        <w:t xml:space="preserve">esults under pressure. Rain shortages impact each growing season differently. A good plant can withstand those variations. Bit by bit it becomes better to match the right kind to hard zones. The findings suggest choices that endure through extreme seasons.</w:t>
      </w:r>
      <w:r>
        <w:rPr>
          <w:rFonts w:ascii="Times New Roman" w:hAnsi="Times New Roman" w:cs="Times New Roman"/>
        </w:rPr>
      </w:r>
      <w:r>
        <w:rPr>
          <w:rFonts w:ascii="Times New Roman" w:hAnsi="Times New Roman" w:cs="Times New Roman"/>
        </w:rPr>
      </w:r>
    </w:p>
    <w:p w14:paraId="00000009">
      <w:pPr>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Latel</w:t>
      </w:r>
      <w:r>
        <w:rPr>
          <w:rFonts w:ascii="Times New Roman" w:hAnsi="Times New Roman" w:eastAsia="Times New Roman" w:cs="Times New Roman"/>
          <w:color w:val="000000"/>
          <w:shd w:val="clear" w:color="auto" w:fill="auto"/>
          <w:rtl w:val="0"/>
        </w:rPr>
        <w:t xml:space="preserve">y, machines that learn have stepped into the spotlight for guessing how much farms will harvest. When plant features tangle with weather and soil in unpredictable patterns, they make sense of chaos better than most. Models such as Random Forest or XGBoost </w:t>
      </w:r>
      <w:r>
        <w:rPr>
          <w:rFonts w:ascii="Times New Roman" w:hAnsi="Times New Roman" w:eastAsia="Times New Roman" w:cs="Times New Roman"/>
          <w:rtl w:val="0"/>
        </w:rPr>
        <w:t xml:space="preserve">[13], [14] </w:t>
      </w:r>
      <w:r>
        <w:rPr>
          <w:rFonts w:ascii="Times New Roman" w:hAnsi="Times New Roman" w:eastAsia="Times New Roman" w:cs="Times New Roman"/>
          <w:color w:val="000000"/>
          <w:shd w:val="clear" w:color="auto" w:fill="auto"/>
          <w:rtl w:val="0"/>
        </w:rPr>
        <w:t xml:space="preserve">tend to beat traditional approaches at this task. Ye</w:t>
      </w:r>
      <w:r>
        <w:rPr>
          <w:rFonts w:ascii="Times New Roman" w:hAnsi="Times New Roman" w:eastAsia="Times New Roman" w:cs="Times New Roman"/>
          <w:color w:val="000000"/>
          <w:shd w:val="clear" w:color="auto" w:fill="auto"/>
          <w:rtl w:val="0"/>
        </w:rPr>
        <w:t xml:space="preserve">t, despite strong guesses, plenty of researchers hold back full confidence, since these systems decide in silence, never explaining why. Figuring out reasons counts just as much as spotting results for those growing plants or handling farmland. Enter SHAP </w:t>
      </w:r>
      <w:r>
        <w:rPr>
          <w:rFonts w:ascii="Times New Roman" w:hAnsi="Times New Roman" w:eastAsia="Times New Roman" w:cs="Times New Roman"/>
          <w:rtl w:val="0"/>
        </w:rPr>
        <w:t xml:space="preserve"> [15], [16]</w:t>
      </w:r>
      <w:r>
        <w:rPr>
          <w:rFonts w:ascii="Times New Roman" w:hAnsi="Times New Roman" w:eastAsia="Times New Roman" w:cs="Times New Roman"/>
          <w:color w:val="000000"/>
          <w:shd w:val="clear" w:color="auto" w:fill="auto"/>
          <w:rtl w:val="0"/>
        </w:rPr>
        <w:t xml:space="preserve">, which pulls apart forecasts one chunk at a time, making computer outputs easier to grasp and apply. Alongside number-crunching models, checking if genetic traits hold steady across sites plays an equal role during field trials. Methods such a</w:t>
      </w:r>
      <w:r>
        <w:rPr>
          <w:rFonts w:ascii="Times New Roman" w:hAnsi="Times New Roman" w:eastAsia="Times New Roman" w:cs="Times New Roman"/>
          <w:color w:val="000000"/>
          <w:shd w:val="clear" w:color="auto" w:fill="auto"/>
          <w:rtl w:val="0"/>
        </w:rPr>
        <w:t xml:space="preserve">s AMMI trace how plant DNA responds to different conditions by following actual performance trends . With GGE biplots, visual layouts reveal varieties that do well anywhere versus ones limited to specific areas, plus they outline broad geographic clusters </w:t>
      </w:r>
      <w:r>
        <w:rPr>
          <w:rFonts w:ascii="Times New Roman" w:hAnsi="Times New Roman" w:eastAsia="Times New Roman" w:cs="Times New Roman"/>
          <w:rtl w:val="0"/>
        </w:rPr>
        <w:t xml:space="preserve">[18]</w:t>
      </w:r>
      <w:r>
        <w:rPr>
          <w:rFonts w:ascii="Times New Roman" w:hAnsi="Times New Roman" w:eastAsia="Times New Roman" w:cs="Times New Roman"/>
          <w:color w:val="000000"/>
          <w:shd w:val="clear" w:color="auto" w:fill="auto"/>
          <w:rtl w:val="0"/>
        </w:rPr>
        <w:t xml:space="preserve">. Still, every approach, machine learning included, handles messy, high-volume farm data. Because actual data twists along irregular shapes, straight-line models fail to reveal how genes and environments truly connect.</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0A">
      <w:pPr>
        <w:pBdr/>
        <w:shd w:val="clear" w:color="auto" w:fill="auto"/>
        <w:spacing/>
        <w:ind/>
        <w:jc w:val="both"/>
        <w:rPr>
          <w:rFonts w:ascii="Times New Roman" w:hAnsi="Times New Roman" w:cs="Times New Roman"/>
        </w:rPr>
      </w:pPr>
      <w:r>
        <w:rPr>
          <w:rFonts w:ascii="Times New Roman" w:hAnsi="Times New Roman" w:eastAsia="Times New Roman" w:cs="Times New Roman"/>
          <w:color w:val="000000"/>
          <w:shd w:val="clear" w:color="auto" w:fill="auto"/>
          <w:rtl w:val="0"/>
        </w:rPr>
        <w:t xml:space="preserve">Hidden benea</w:t>
      </w:r>
      <w:r>
        <w:rPr>
          <w:rFonts w:ascii="Times New Roman" w:hAnsi="Times New Roman" w:eastAsia="Times New Roman" w:cs="Times New Roman"/>
          <w:color w:val="000000"/>
          <w:shd w:val="clear" w:color="auto" w:fill="auto"/>
          <w:rtl w:val="0"/>
        </w:rPr>
        <w:t xml:space="preserve">th layers of noisy measurements, the real shape of crop performance begins to show. Instead of treating data as scattered points, imagine it folded like fabric, smooth but wrinkled by environmental chaos. Unfolding happens through tools like t-SNE or UMAP </w:t>
      </w:r>
      <w:r>
        <w:rPr>
          <w:rFonts w:ascii="Times New Roman" w:hAnsi="Times New Roman" w:eastAsia="Times New Roman" w:cs="Times New Roman"/>
          <w:rtl w:val="0"/>
        </w:rPr>
        <w:t xml:space="preserve"> [19], [20]</w:t>
      </w:r>
      <w:r>
        <w:rPr>
          <w:rFonts w:ascii="Times New Roman" w:hAnsi="Times New Roman" w:eastAsia="Times New Roman" w:cs="Times New Roman"/>
          <w:color w:val="000000"/>
          <w:shd w:val="clear" w:color="auto" w:fill="auto"/>
          <w:rtl w:val="0"/>
        </w:rPr>
        <w:t xml:space="preserve"> peeling back dimensions without breaking natural groupings. When drought twists plant behavior in strange ways, linearity </w:t>
      </w:r>
      <w:r>
        <w:rPr>
          <w:rFonts w:ascii="Times New Roman" w:hAnsi="Times New Roman" w:eastAsia="Times New Roman" w:cs="Times New Roman"/>
          <w:rtl w:val="0"/>
        </w:rPr>
        <w:t xml:space="preserve">fails</w:t>
      </w:r>
      <w:r>
        <w:rPr>
          <w:rFonts w:ascii="Times New Roman" w:hAnsi="Times New Roman" w:eastAsia="Times New Roman" w:cs="Times New Roman"/>
          <w:color w:val="000000"/>
          <w:shd w:val="clear" w:color="auto" w:fill="auto"/>
          <w:rtl w:val="0"/>
        </w:rPr>
        <w:t xml:space="preserve"> yet these methods still track what stays close. Patterns emerge not by force, but by preserving local neighborhoods across shifting conditions. Structure appears wh</w:t>
      </w:r>
      <w:r>
        <w:rPr>
          <w:rFonts w:ascii="Times New Roman" w:hAnsi="Times New Roman" w:eastAsia="Times New Roman" w:cs="Times New Roman"/>
          <w:color w:val="000000"/>
          <w:shd w:val="clear" w:color="auto" w:fill="auto"/>
          <w:rtl w:val="0"/>
        </w:rPr>
        <w:t xml:space="preserve">ere older math saw only randomness, especially with lentils facing water loss. What used to blur together now separates: stable types stand apart from fragile ones. Even SHAP values gain clearer meaning when fed signals lifted straight from the manifold's </w:t>
      </w:r>
      <w:r>
        <w:rPr>
          <w:rFonts w:ascii="Times New Roman" w:hAnsi="Times New Roman" w:eastAsia="Times New Roman" w:cs="Times New Roman"/>
          <w:rtl w:val="0"/>
        </w:rPr>
        <w:t xml:space="preserve">curve. Time goes on. But most studies leave yield guesses untethered, unmoored</w:t>
      </w:r>
      <w:r>
        <w:rPr>
          <w:rFonts w:ascii="Times New Roman" w:hAnsi="Times New Roman" w:eastAsia="Times New Roman" w:cs="Times New Roman"/>
          <w:rtl w:val="0"/>
        </w:rPr>
        <w:t xml:space="preserve"> from clear models or stable results. Connect manifold learning, prediction machines, SHAP light-on-reasoning, and AMMI-GGE steadiness checks, not once in a while, least of all for lentils, where rains skip seasons in Bangladesh. What do we see here? A bri</w:t>
      </w:r>
      <w:r>
        <w:rPr>
          <w:rFonts w:ascii="Times New Roman" w:hAnsi="Times New Roman" w:eastAsia="Times New Roman" w:cs="Times New Roman"/>
          <w:rtl w:val="0"/>
        </w:rPr>
        <w:t xml:space="preserve">dge long missed. Real field numbers come in, one by one, then shape-sensing math shapes understanding, then smart guesswork on harvest size, reasons unpacked through SHAP eyes, and finally rank-ordered by who holds firm across unstable years via AMMI and G</w:t>
      </w:r>
      <w:r>
        <w:rPr>
          <w:rFonts w:ascii="Times New Roman" w:hAnsi="Times New Roman" w:eastAsia="Times New Roman" w:cs="Times New Roman"/>
          <w:rtl w:val="0"/>
        </w:rPr>
        <w:t xml:space="preserve">GE tools. At the end? Names of sorts of lentils that do well and stand firm when water is scarce. Names that help those planting seeds, shaping new crops, and guiding rules, all working clearer ground truth into choices as weather changes under their feet.</w:t>
      </w:r>
      <w:r>
        <w:rPr>
          <w:rFonts w:ascii="Times New Roman" w:hAnsi="Times New Roman" w:cs="Times New Roman"/>
        </w:rPr>
      </w:r>
      <w:r>
        <w:rPr>
          <w:rFonts w:ascii="Times New Roman" w:hAnsi="Times New Roman" w:cs="Times New Roman"/>
        </w:rPr>
      </w:r>
    </w:p>
    <w:p w14:paraId="0000000B">
      <w:pPr>
        <w:pStyle w:val="890"/>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 w:name="hh632gl1k59j"/>
      <w:r>
        <w:rPr>
          <w:rFonts w:ascii="Times New Roman" w:hAnsi="Times New Roman" w:eastAsia="Times New Roman" w:cs="Times New Roman"/>
        </w:rPr>
      </w:r>
      <w:bookmarkEnd w:id="1"/>
      <w:r>
        <w:rPr>
          <w:rFonts w:ascii="Times New Roman" w:hAnsi="Times New Roman" w:eastAsia="Times New Roman" w:cs="Times New Roman"/>
          <w:color w:val="000000"/>
          <w:shd w:val="clear" w:color="auto" w:fill="auto"/>
          <w:rtl w:val="0"/>
        </w:rPr>
        <w:t xml:space="preserve">2. Methodology</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0C">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 w:name="seavfh28av0b"/>
      <w:r>
        <w:rPr>
          <w:rFonts w:ascii="Times New Roman" w:hAnsi="Times New Roman" w:eastAsia="Times New Roman" w:cs="Times New Roman"/>
        </w:rPr>
      </w:r>
      <w:bookmarkEnd w:id="2"/>
      <w:r>
        <w:rPr>
          <w:rFonts w:ascii="Times New Roman" w:hAnsi="Times New Roman" w:eastAsia="Times New Roman" w:cs="Times New Roman"/>
          <w:color w:val="000000"/>
          <w:shd w:val="clear" w:color="auto" w:fill="auto"/>
          <w:rtl w:val="0"/>
        </w:rPr>
        <w:t xml:space="preserve">2.1 Experimental Design</w:t>
      </w:r>
      <w:r>
        <w:rPr>
          <w:rFonts w:ascii="Times New Roman" w:hAnsi="Times New Roman" w:eastAsia="Times New Roman" w:cs="Times New Roman"/>
          <w:color w:val="000000"/>
          <w:rtl w:val="0"/>
        </w:rPr>
        <w:t xml:space="preserve">,</w:t>
      </w:r>
      <w:r>
        <w:rPr>
          <w:rFonts w:ascii="Times New Roman" w:hAnsi="Times New Roman" w:eastAsia="Times New Roman" w:cs="Times New Roman"/>
          <w:color w:val="000000"/>
          <w:shd w:val="clear" w:color="auto" w:fill="auto"/>
          <w:rtl w:val="0"/>
        </w:rPr>
        <w:t xml:space="preserve"> Study Area and Environmental Context</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0D">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highlight w:val="none"/>
        </w:rPr>
      </w:pPr>
      <w:r>
        <w:rPr>
          <w:rFonts w:ascii="Times New Roman" w:hAnsi="Times New Roman" w:eastAsia="Times New Roman" w:cs="Times New Roman"/>
          <w:rtl w:val="0"/>
        </w:rPr>
        <w:t xml:space="preserve">Five farm a</w:t>
      </w:r>
      <w:r>
        <w:rPr>
          <w:rFonts w:ascii="Times New Roman" w:hAnsi="Times New Roman" w:eastAsia="Times New Roman" w:cs="Times New Roman"/>
          <w:rtl w:val="0"/>
        </w:rPr>
        <w:t xml:space="preserve">reas in Bangladesh served as research sites: Godagari (L1), Shyampur (L2), Nachole (L3), Sapaher (L4), and Iswardi (L5). Though spread out spatially, each falls under the administrative zone of the Rajshahi division. Weather here follows a subtropical mons</w:t>
      </w:r>
      <w:r>
        <w:rPr>
          <w:rFonts w:ascii="Times New Roman" w:hAnsi="Times New Roman" w:eastAsia="Times New Roman" w:cs="Times New Roman"/>
          <w:rtl w:val="0"/>
        </w:rPr>
        <w:t xml:space="preserve">oon pattern typical of the Barind Tract. Also known as Varendra Bhumi, with sharp shifts between seasons in heat, moisture, and rainfall. Across all locations, how temperature and rain change month by month and also soil properties appear in Figures 1 - 3.</w:t>
      </w:r>
      <w:r>
        <w:rPr>
          <w:rFonts w:ascii="Times New Roman" w:hAnsi="Times New Roman" w:cs="Times New Roman"/>
        </w:rPr>
      </w:r>
      <w:r>
        <w:rPr>
          <w:rFonts w:ascii="Times New Roman" w:hAnsi="Times New Roman" w:cs="Times New Roman"/>
          <w:highlight w:val="none"/>
        </w:rPr>
      </w:r>
    </w:p>
    <w:p w14:paraId="78B89E22">
      <w:pPr>
        <w:pBdr/>
        <w:shd w:val="clear" w:color="auto" w:fill="auto"/>
        <w:spacing/>
        <w:ind/>
        <w:jc w:val="center"/>
        <w:rPr>
          <w:rFonts w:ascii="Times New Roman" w:hAnsi="Times New Roman" w:cs="Times New Roman"/>
          <w:bCs/>
          <w:i/>
          <w:highlight w:val="none"/>
          <w14:ligatures w14:val="none"/>
        </w:rPr>
      </w:pPr>
      <w:r>
        <w:rPr>
          <w:rFonts w:ascii="Times New Roman" w:hAnsi="Times New Roman" w:eastAsia="Times New Roman" w:cs="Times New Roman"/>
          <w:i/>
          <w:iCs/>
          <w:highlight w:val="none"/>
        </w:rPr>
        <mc:AlternateContent>
          <mc:Choice Requires="wpg">
            <w:drawing>
              <wp:inline xmlns:wp="http://schemas.openxmlformats.org/drawingml/2006/wordprocessingDrawing" distT="0" distB="0" distL="0" distR="0">
                <wp:extent cx="3582973" cy="23886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0759" name=""/>
                        <pic:cNvPicPr>
                          <a:picLocks noChangeAspect="1"/>
                        </pic:cNvPicPr>
                        <pic:nvPr/>
                      </pic:nvPicPr>
                      <pic:blipFill rotWithShape="1">
                        <a:blip r:embed="rId8"/>
                        <a:stretch/>
                      </pic:blipFill>
                      <pic:spPr bwMode="auto">
                        <a:xfrm flipH="0" flipV="0">
                          <a:off x="0" y="0"/>
                          <a:ext cx="3582972" cy="2388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2.12pt;height:188.08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i/>
          <w:iCs/>
          <w:highlight w:val="none"/>
        </w:rPr>
      </w:r>
      <w:r>
        <w:rPr>
          <w:rFonts w:ascii="Times New Roman" w:hAnsi="Times New Roman" w:cs="Times New Roman"/>
          <w:bCs/>
          <w:i/>
          <w:highlight w:val="none"/>
          <w14:ligatures w14:val="none"/>
        </w:rPr>
      </w:r>
    </w:p>
    <w:p w14:paraId="58244954">
      <w:pPr>
        <w:pBdr/>
        <w:shd w:val="clear" w:color="auto" w:fill="auto"/>
        <w:spacing/>
        <w:ind/>
        <w:rPr>
          <w:rFonts w:ascii="Times New Roman" w:hAnsi="Times New Roman" w:eastAsia="Times New Roman" w:cs="Times New Roman"/>
          <w:bCs/>
          <w:i/>
          <w:highlight w:val="none"/>
          <w14:ligatures w14:val="none"/>
        </w:rPr>
      </w:pPr>
      <w:r>
        <w:rPr>
          <w:rFonts w:ascii="Times New Roman" w:hAnsi="Times New Roman" w:eastAsia="Times New Roman" w:cs="Times New Roman"/>
          <w:i/>
          <w:iCs/>
          <w:highlight w:val="none"/>
        </w:rPr>
        <w:t xml:space="preserve">Figure 1.</w:t>
      </w:r>
      <w:r>
        <w:rPr>
          <w:rFonts w:ascii="Times New Roman" w:hAnsi="Times New Roman" w:eastAsia="Times New Roman" w:cs="Times New Roman"/>
          <w:i/>
          <w:iCs/>
          <w:highlight w:val="none"/>
        </w:rPr>
        <w:t xml:space="preserve"> Schematic overview of the integrated machine learning and stability analysis workflow. The pipeline progresses from data preprocessing and feature engineering through model training and nested cross-validation. The best-performing model is subsequently an</w:t>
      </w:r>
      <w:r>
        <w:rPr>
          <w:rFonts w:ascii="Times New Roman" w:hAnsi="Times New Roman" w:eastAsia="Times New Roman" w:cs="Times New Roman"/>
          <w:i/>
          <w:iCs/>
          <w:highlight w:val="none"/>
        </w:rPr>
        <w:t xml:space="preserve">alyzed using SHAP explainability and traditional stability methods (AMMI &amp; GGE) to identify key yield drivers and top genotypes.</w:t>
      </w:r>
      <w:r>
        <w:rPr>
          <w:rFonts w:ascii="Times New Roman" w:hAnsi="Times New Roman" w:eastAsia="Times New Roman" w:cs="Times New Roman"/>
          <w:i/>
          <w:iCs/>
          <w:highlight w:val="none"/>
        </w:rPr>
      </w:r>
      <w:r>
        <w:rPr>
          <w:rFonts w:ascii="Times New Roman" w:hAnsi="Times New Roman" w:eastAsia="Times New Roman" w:cs="Times New Roman"/>
          <w:bCs/>
          <w:i/>
          <w:highlight w:val="none"/>
          <w14:ligatures w14:val="none"/>
        </w:rPr>
      </w:r>
    </w:p>
    <w:p w14:paraId="0000000E">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From an initial survey of 150 lentil types (including ICARDA-collected types, farm-grown varieties, indigenous strains, newer experimental lines, and imported seed), ten varieties were selected for further st</w:t>
      </w:r>
      <w:r>
        <w:rPr>
          <w:rFonts w:ascii="Times New Roman" w:hAnsi="Times New Roman" w:eastAsia="Times New Roman" w:cs="Times New Roman"/>
          <w:rtl w:val="0"/>
        </w:rPr>
        <w:t xml:space="preserve">udy at several test sites. Of the top ten, eight performed well in high temperatures (G1, G17, G21, G39, G41, G43, G49, and G63) and two struggled (G71 and G73), chosen earlier based on seed development and physical traits when hot conditions were present.</w:t>
      </w:r>
      <w:r>
        <w:rPr>
          <w:rFonts w:ascii="Times New Roman" w:hAnsi="Times New Roman" w:cs="Times New Roman"/>
        </w:rPr>
      </w:r>
      <w:r>
        <w:rPr>
          <w:rFonts w:ascii="Times New Roman" w:hAnsi="Times New Roman" w:cs="Times New Roman"/>
        </w:rPr>
      </w:r>
    </w:p>
    <w:p w14:paraId="000000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shd w:val="clear" w:color="auto" w:fill="auto"/>
        </w:rPr>
      </w:pPr>
      <w:r>
        <w:rPr>
          <w:rFonts w:ascii="Times New Roman" w:hAnsi="Times New Roman" w:eastAsia="Times New Roman" w:cs="Times New Roman"/>
          <w:rtl w:val="0"/>
        </w:rPr>
        <w:t xml:space="preserve">The research was conducted under actual field conditions for a growing season from July 2024 to June 2025. Weather trends in Rajshahi, according to local records, showed distinct variations from month to month and season to season. </w:t>
      </w:r>
      <w:r>
        <w:rPr>
          <w:rFonts w:ascii="Times New Roman" w:hAnsi="Times New Roman" w:cs="Times New Roman"/>
          <w:shd w:val="clear" w:color="auto" w:fill="auto"/>
        </w:rPr>
      </w:r>
      <w:r>
        <w:rPr>
          <w:rFonts w:ascii="Times New Roman" w:hAnsi="Times New Roman" w:cs="Times New Roman"/>
          <w:shd w:val="clear" w:color="auto" w:fill="auto"/>
        </w:rPr>
      </w:r>
    </w:p>
    <w:p w14:paraId="000000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center"/>
        <w:rPr>
          <w:rFonts w:ascii="Times New Roman" w:hAnsi="Times New Roman" w:cs="Times New Roman"/>
          <w:shd w:val="clear" w:color="auto" w:fill="auto"/>
        </w:rPr>
      </w:pPr>
      <w:r>
        <w:rPr>
          <w:rFonts w:ascii="Times New Roman" w:hAnsi="Times New Roman" w:eastAsia="Times New Roman" w:cs="Times New Roman"/>
          <w:shd w:val="clear" w:color="auto" w:fill="auto"/>
        </w:rPr>
        <mc:AlternateContent>
          <mc:Choice Requires="wpg">
            <w:drawing>
              <wp:inline xmlns:wp="http://schemas.openxmlformats.org/drawingml/2006/wordprocessingDrawing" distT="0" distB="0" distL="0" distR="0">
                <wp:extent cx="3571741" cy="472094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9"/>
                        <a:srcRect l="0" t="0" r="0" b="0"/>
                        <a:stretch/>
                      </pic:blipFill>
                      <pic:spPr bwMode="auto">
                        <a:xfrm>
                          <a:off x="0" y="0"/>
                          <a:ext cx="3571741" cy="47209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1.24pt;height:371.73pt;mso-wrap-distance-left:0.00pt;mso-wrap-distance-top:0.00pt;mso-wrap-distance-right:0.00pt;mso-wrap-distance-bottom:0.00pt;z-index:1;">
                <v:imagedata r:id="rId9" o:title="" croptop="0f" cropleft="0f" cropbottom="0f" cropright="0f"/>
                <o:lock v:ext="edit" rotation="t"/>
              </v:shape>
            </w:pict>
          </mc:Fallback>
        </mc:AlternateContent>
      </w:r>
      <w:r>
        <w:rPr>
          <w:rFonts w:ascii="Times New Roman" w:hAnsi="Times New Roman" w:cs="Times New Roman"/>
          <w:shd w:val="clear" w:color="auto" w:fill="auto"/>
        </w:rPr>
      </w:r>
      <w:r>
        <w:rPr>
          <w:rFonts w:ascii="Times New Roman" w:hAnsi="Times New Roman" w:cs="Times New Roman"/>
          <w:shd w:val="clear" w:color="auto" w:fill="auto"/>
        </w:rPr>
      </w:r>
    </w:p>
    <w:p w14:paraId="000000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i/>
          <w:iCs/>
        </w:rPr>
      </w:pPr>
      <w:r>
        <w:rPr>
          <w:rFonts w:ascii="Times New Roman" w:hAnsi="Times New Roman" w:eastAsia="Times New Roman" w:cs="Times New Roman"/>
          <w:i/>
          <w:iCs/>
          <w:rtl w:val="0"/>
        </w:rPr>
        <w:t xml:space="preserve">Figure 1: Monthly maximum and minimum temperatures (°C) across five locations (Godagari, Shyampur, Nachole, Sapaher, and Iswardi) from June 2024 to May 2025.</w:t>
      </w:r>
      <w:r>
        <w:rPr>
          <w:rFonts w:ascii="Times New Roman" w:hAnsi="Times New Roman" w:cs="Times New Roman"/>
          <w:i/>
          <w:iCs/>
        </w:rPr>
      </w:r>
      <w:r>
        <w:rPr>
          <w:rFonts w:ascii="Times New Roman" w:hAnsi="Times New Roman" w:cs="Times New Roman"/>
          <w:i/>
          <w:iCs/>
        </w:rPr>
      </w:r>
    </w:p>
    <w:p w14:paraId="000000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color w:val="000000"/>
          <w:sz w:val="24"/>
          <w:szCs w:val="24"/>
          <w:shd w:val="clear" w:color="auto" w:fill="auto"/>
        </w:rPr>
      </w:pPr>
      <w:r>
        <w:rPr>
          <w:rFonts w:ascii="Times New Roman" w:hAnsi="Times New Roman" w:eastAsia="Times New Roman" w:cs="Times New Roman"/>
          <w:color w:val="000000"/>
          <w:sz w:val="24"/>
          <w:szCs w:val="24"/>
          <w:shd w:val="clear" w:color="auto" w:fill="auto"/>
          <w:rtl w:val="0"/>
        </w:rPr>
        <w:t xml:space="preserve">Temperature profiles across locations (Figure </w:t>
      </w:r>
      <w:r>
        <w:rPr>
          <w:rFonts w:ascii="Times New Roman" w:hAnsi="Times New Roman" w:eastAsia="Times New Roman" w:cs="Times New Roman"/>
          <w:rtl w:val="0"/>
        </w:rPr>
        <w:t xml:space="preserve">1) and</w:t>
      </w:r>
      <w:r>
        <w:rPr>
          <w:rFonts w:ascii="Times New Roman" w:hAnsi="Times New Roman" w:eastAsia="Times New Roman" w:cs="Times New Roman"/>
          <w:color w:val="000000"/>
          <w:sz w:val="24"/>
          <w:szCs w:val="24"/>
          <w:shd w:val="clear" w:color="auto" w:fill="auto"/>
          <w:rtl w:val="0"/>
        </w:rPr>
        <w:t xml:space="preserve"> temperature trends at each site traced a predictable yearly pattern during 2024–2025. Peaking near 36°C around midyear, warmth began fading soon afterward. Through </w:t>
      </w:r>
      <w:r>
        <w:rPr>
          <w:rFonts w:ascii="Times New Roman" w:hAnsi="Times New Roman" w:eastAsia="Times New Roman" w:cs="Times New Roman"/>
          <w:rtl w:val="0"/>
        </w:rPr>
        <w:t xml:space="preserve">the monsoon</w:t>
      </w:r>
      <w:r>
        <w:rPr>
          <w:rFonts w:ascii="Times New Roman" w:hAnsi="Times New Roman" w:eastAsia="Times New Roman" w:cs="Times New Roman"/>
          <w:color w:val="000000"/>
          <w:sz w:val="24"/>
          <w:szCs w:val="24"/>
          <w:shd w:val="clear" w:color="auto" w:fill="auto"/>
          <w:rtl w:val="0"/>
        </w:rPr>
        <w:t xml:space="preserve"> and after, readings dipped</w:t>
      </w:r>
      <w:r>
        <w:rPr>
          <w:rFonts w:ascii="Times New Roman" w:hAnsi="Times New Roman" w:eastAsia="Times New Roman" w:cs="Times New Roman"/>
          <w:rtl w:val="0"/>
        </w:rPr>
        <w:t xml:space="preserve">,</w:t>
      </w:r>
      <w:r>
        <w:rPr>
          <w:rFonts w:ascii="Times New Roman" w:hAnsi="Times New Roman" w:eastAsia="Times New Roman" w:cs="Times New Roman"/>
          <w:color w:val="000000"/>
          <w:sz w:val="24"/>
          <w:szCs w:val="24"/>
          <w:shd w:val="clear" w:color="auto" w:fill="auto"/>
          <w:rtl w:val="0"/>
        </w:rPr>
        <w:t xml:space="preserve"> bottoming out in early 2025. January brought highs of just </w:t>
      </w:r>
      <w:r>
        <w:rPr>
          <w:rFonts w:ascii="Times New Roman" w:hAnsi="Times New Roman" w:eastAsia="Times New Roman" w:cs="Times New Roman"/>
          <w:rtl w:val="0"/>
        </w:rPr>
        <w:t xml:space="preserve">22–27°C and</w:t>
      </w:r>
      <w:r>
        <w:rPr>
          <w:rFonts w:ascii="Times New Roman" w:hAnsi="Times New Roman" w:eastAsia="Times New Roman" w:cs="Times New Roman"/>
          <w:color w:val="000000"/>
          <w:sz w:val="24"/>
          <w:szCs w:val="24"/>
          <w:shd w:val="clear" w:color="auto" w:fill="auto"/>
          <w:rtl w:val="0"/>
        </w:rPr>
        <w:t xml:space="preserve"> lows hitting 10°C in Godagari, marking it the coolest spot overall. By late spring, heat surged once more; places like Nachole and Iswardi neared 37°C again. Between November and </w:t>
      </w:r>
      <w:r>
        <w:rPr>
          <w:rFonts w:ascii="Times New Roman" w:hAnsi="Times New Roman" w:eastAsia="Times New Roman" w:cs="Times New Roman"/>
          <w:rtl w:val="0"/>
        </w:rPr>
        <w:t xml:space="preserve">March is the</w:t>
      </w:r>
      <w:r>
        <w:rPr>
          <w:rFonts w:ascii="Times New Roman" w:hAnsi="Times New Roman" w:eastAsia="Times New Roman" w:cs="Times New Roman"/>
          <w:color w:val="000000"/>
          <w:sz w:val="24"/>
          <w:szCs w:val="24"/>
          <w:shd w:val="clear" w:color="auto" w:fill="auto"/>
          <w:rtl w:val="0"/>
        </w:rPr>
        <w:t xml:space="preserve"> core growing stretch for lentils</w:t>
      </w:r>
      <w:r>
        <w:rPr>
          <w:rFonts w:ascii="Times New Roman" w:hAnsi="Times New Roman" w:eastAsia="Times New Roman" w:cs="Times New Roman"/>
          <w:rtl w:val="0"/>
        </w:rPr>
        <w:t xml:space="preserve">. Daytime</w:t>
      </w:r>
      <w:r>
        <w:rPr>
          <w:rFonts w:ascii="Times New Roman" w:hAnsi="Times New Roman" w:eastAsia="Times New Roman" w:cs="Times New Roman"/>
          <w:color w:val="000000"/>
          <w:sz w:val="24"/>
          <w:szCs w:val="24"/>
          <w:shd w:val="clear" w:color="auto" w:fill="auto"/>
          <w:rtl w:val="0"/>
        </w:rPr>
        <w:t xml:space="preserve"> temps held steady from 24°C up to 30°C. At night, they settled lower: 10–19°C, varying by point on the map. </w:t>
      </w:r>
      <w:r>
        <w:rPr>
          <w:rFonts w:ascii="Times New Roman" w:hAnsi="Times New Roman" w:eastAsia="Times New Roman" w:cs="Times New Roman"/>
          <w:rtl w:val="0"/>
        </w:rPr>
        <w:t xml:space="preserve">Cool weather</w:t>
      </w:r>
      <w:r>
        <w:rPr>
          <w:rFonts w:ascii="Times New Roman" w:hAnsi="Times New Roman" w:eastAsia="Times New Roman" w:cs="Times New Roman"/>
          <w:color w:val="000000"/>
          <w:sz w:val="24"/>
          <w:szCs w:val="24"/>
          <w:shd w:val="clear" w:color="auto" w:fill="auto"/>
          <w:rtl w:val="0"/>
        </w:rPr>
        <w:t xml:space="preserve"> suits lentil plants well, especially when forming pods. Iswardi stood apart </w:t>
      </w:r>
      <w:r>
        <w:rPr>
          <w:rFonts w:ascii="Times New Roman" w:hAnsi="Times New Roman" w:eastAsia="Times New Roman" w:cs="Times New Roman"/>
          <w:rtl w:val="0"/>
        </w:rPr>
        <w:t xml:space="preserve">here; its</w:t>
      </w:r>
      <w:r>
        <w:rPr>
          <w:rFonts w:ascii="Times New Roman" w:hAnsi="Times New Roman" w:eastAsia="Times New Roman" w:cs="Times New Roman"/>
          <w:color w:val="000000"/>
          <w:sz w:val="24"/>
          <w:szCs w:val="24"/>
          <w:shd w:val="clear" w:color="auto" w:fill="auto"/>
          <w:rtl w:val="0"/>
        </w:rPr>
        <w:t xml:space="preserve"> gap between day and night warmth stayed tighter than elsewhere across the entire cycle.</w:t>
      </w:r>
      <w:r>
        <w:rPr>
          <w:rFonts w:ascii="Times New Roman" w:hAnsi="Times New Roman" w:cs="Times New Roman"/>
          <w:color w:val="000000"/>
          <w:sz w:val="24"/>
          <w:szCs w:val="24"/>
          <w:shd w:val="clear" w:color="auto" w:fill="auto"/>
        </w:rPr>
      </w:r>
      <w:r>
        <w:rPr>
          <w:rFonts w:ascii="Times New Roman" w:hAnsi="Times New Roman" w:cs="Times New Roman"/>
          <w:color w:val="000000"/>
          <w:sz w:val="24"/>
          <w:szCs w:val="24"/>
          <w:shd w:val="clear" w:color="auto" w:fill="auto"/>
        </w:rPr>
      </w:r>
    </w:p>
    <w:p w14:paraId="000000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center"/>
        <w:rPr>
          <w:rFonts w:ascii="Times New Roman" w:hAnsi="Times New Roman" w:cs="Times New Roman"/>
          <w:shd w:val="clear" w:color="auto" w:fill="auto"/>
        </w:rPr>
      </w:pPr>
      <w:r>
        <w:rPr>
          <w:rFonts w:ascii="Times New Roman" w:hAnsi="Times New Roman" w:eastAsia="Times New Roman" w:cs="Times New Roman"/>
          <w:shd w:val="clear" w:color="auto" w:fill="auto"/>
        </w:rPr>
        <mc:AlternateContent>
          <mc:Choice Requires="wpg">
            <w:drawing>
              <wp:inline xmlns:wp="http://schemas.openxmlformats.org/drawingml/2006/wordprocessingDrawing" distT="0" distB="0" distL="0" distR="0">
                <wp:extent cx="3464264" cy="400798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0"/>
                        <a:srcRect l="0" t="0" r="0" b="0"/>
                        <a:stretch/>
                      </pic:blipFill>
                      <pic:spPr bwMode="auto">
                        <a:xfrm>
                          <a:off x="0" y="0"/>
                          <a:ext cx="3464264" cy="400798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72.78pt;height:315.59pt;mso-wrap-distance-left:0.00pt;mso-wrap-distance-top:0.00pt;mso-wrap-distance-right:0.00pt;mso-wrap-distance-bottom:0.00pt;z-index:1;">
                <v:imagedata r:id="rId10" o:title="" croptop="0f" cropleft="0f" cropbottom="0f" cropright="0f"/>
                <o:lock v:ext="edit" rotation="t"/>
              </v:shape>
            </w:pict>
          </mc:Fallback>
        </mc:AlternateContent>
      </w:r>
      <w:r>
        <w:rPr>
          <w:rFonts w:ascii="Times New Roman" w:hAnsi="Times New Roman" w:cs="Times New Roman"/>
          <w:shd w:val="clear" w:color="auto" w:fill="auto"/>
        </w:rPr>
      </w:r>
      <w:r>
        <w:rPr>
          <w:rFonts w:ascii="Times New Roman" w:hAnsi="Times New Roman" w:cs="Times New Roman"/>
          <w:shd w:val="clear" w:color="auto" w:fill="auto"/>
        </w:rPr>
      </w:r>
    </w:p>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i/>
          <w:iCs/>
          <w:color w:val="000000"/>
        </w:rPr>
      </w:pPr>
      <w:r>
        <w:rPr>
          <w:rFonts w:ascii="Times New Roman" w:hAnsi="Times New Roman" w:eastAsia="Times New Roman" w:cs="Times New Roman"/>
          <w:i/>
          <w:iCs/>
          <w:rtl w:val="0"/>
        </w:rPr>
        <w:t xml:space="preserve">Figure 2: Monthly total rainfall (mm) across five experimental locations from June 2024 to May 2025, showing heavy monsoon precipitation (June–September 2024) and near-zero rainfall during the lentil-growing season (November 2024–February 2025).</w:t>
      </w:r>
      <w:r>
        <w:rPr>
          <w:rFonts w:ascii="Times New Roman" w:hAnsi="Times New Roman" w:cs="Times New Roman"/>
          <w:i/>
          <w:iCs/>
          <w:color w:val="000000"/>
        </w:rPr>
      </w:r>
      <w:r>
        <w:rPr>
          <w:rFonts w:ascii="Times New Roman" w:hAnsi="Times New Roman" w:cs="Times New Roman"/>
          <w:i/>
          <w:iCs/>
          <w:color w:val="000000"/>
        </w:rPr>
      </w:r>
    </w:p>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t xml:space="preserve">Heavy rai</w:t>
      </w:r>
      <w:r>
        <w:rPr>
          <w:rFonts w:ascii="Times New Roman" w:hAnsi="Times New Roman" w:eastAsia="Times New Roman" w:cs="Times New Roman"/>
          <w:rtl w:val="0"/>
        </w:rPr>
        <w:t xml:space="preserve">ns arrived twice each year, shaping two distinct wet peaks seen in Figure 2. Most downpours happened before and during monsoon times, leaving the lentil crop period nearly rainless. The biggest monthly accumulation appeared in July 2024 at every one of the</w:t>
      </w:r>
      <w:r>
        <w:rPr>
          <w:rFonts w:ascii="Times New Roman" w:hAnsi="Times New Roman" w:eastAsia="Times New Roman" w:cs="Times New Roman"/>
          <w:rtl w:val="0"/>
        </w:rPr>
        <w:t xml:space="preserve"> five spots studied. At Shyampur, levels reached about 335 millimeters that month; Iswardi followed just below with roughly 325. August brought strong rains later to Godagari and Nachole-over 300 and past 280 millimeters separately. Meanwhile, from Novembe</w:t>
      </w:r>
      <w:r>
        <w:rPr>
          <w:rFonts w:ascii="Times New Roman" w:hAnsi="Times New Roman" w:eastAsia="Times New Roman" w:cs="Times New Roman"/>
          <w:rtl w:val="0"/>
        </w:rPr>
        <w:t xml:space="preserve">r 2024 until February 2025, almost no water fell anywhere. This absence hit hardest between December and January when four stations: Godagari, Shyampur, Sapahar, and Iswardi  notched virtually nothing. A small shift emerged at Nachole: October delivered so</w:t>
      </w:r>
      <w:r>
        <w:rPr>
          <w:rFonts w:ascii="Times New Roman" w:hAnsi="Times New Roman" w:eastAsia="Times New Roman" w:cs="Times New Roman"/>
          <w:rtl w:val="0"/>
        </w:rPr>
        <w:t xml:space="preserve">me measure of dampness, around 120 millimeters, hinting at localized weather behavior unlike the others. Back in April–May 2025, early monsoon rains showed up again. Shyampur saw an unusually large amount about 295 mm during May that year. Because of this </w:t>
      </w:r>
      <w:r>
        <w:rPr>
          <w:rFonts w:ascii="Times New Roman" w:hAnsi="Times New Roman" w:eastAsia="Times New Roman" w:cs="Times New Roman"/>
          <w:rtl w:val="0"/>
        </w:rPr>
        <w:t xml:space="preserve">pattern, lentils grew without much actual rain across every location. Instead, plants drew from leftover dampness in the ground or extra watering when given. Under such circumstances, how well soil retains water began to matter greatly for harvest results.</w:t>
      </w:r>
      <w:r>
        <w:rPr>
          <w:rFonts w:ascii="Times New Roman" w:hAnsi="Times New Roman" w:cs="Times New Roman"/>
        </w:rPr>
      </w:r>
      <w:r>
        <w:rPr>
          <w:rFonts w:ascii="Times New Roman" w:hAnsi="Times New Roman" w:cs="Times New Roman"/>
        </w:rPr>
      </w:r>
    </w:p>
    <w:p w14:paraId="000000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shd w:val="clear" w:color="auto" w:fill="auto"/>
        </w:rPr>
      </w:pPr>
      <w:r>
        <w:rPr>
          <w:rFonts w:ascii="Times New Roman" w:hAnsi="Times New Roman" w:eastAsia="Times New Roman" w:cs="Times New Roman"/>
          <w:shd w:val="clear" w:color="auto" w:fill="auto"/>
        </w:rPr>
        <mc:AlternateContent>
          <mc:Choice Requires="wpg">
            <w:drawing>
              <wp:inline xmlns:wp="http://schemas.openxmlformats.org/drawingml/2006/wordprocessingDrawing" distT="0" distB="0" distL="0" distR="0">
                <wp:extent cx="5772149" cy="245953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1"/>
                        <a:srcRect l="0" t="0" r="0" b="0"/>
                        <a:stretch/>
                      </pic:blipFill>
                      <pic:spPr bwMode="auto">
                        <a:xfrm>
                          <a:off x="0" y="0"/>
                          <a:ext cx="5772149" cy="245953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4.50pt;height:193.66pt;mso-wrap-distance-left:0.00pt;mso-wrap-distance-top:0.00pt;mso-wrap-distance-right:0.00pt;mso-wrap-distance-bottom:0.00pt;z-index:1;">
                <v:imagedata r:id="rId11" o:title="" croptop="0f" cropleft="0f" cropbottom="0f" cropright="0f"/>
                <o:lock v:ext="edit" rotation="t"/>
              </v:shape>
            </w:pict>
          </mc:Fallback>
        </mc:AlternateContent>
      </w:r>
      <w:r>
        <w:rPr>
          <w:rFonts w:ascii="Times New Roman" w:hAnsi="Times New Roman" w:cs="Times New Roman"/>
          <w:shd w:val="clear" w:color="auto" w:fill="auto"/>
        </w:rPr>
      </w:r>
      <w:r>
        <w:rPr>
          <w:rFonts w:ascii="Times New Roman" w:hAnsi="Times New Roman" w:cs="Times New Roman"/>
          <w:shd w:val="clear" w:color="auto" w:fill="auto"/>
        </w:rPr>
      </w:r>
    </w:p>
    <w:p w14:paraId="000000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i/>
          <w:iCs/>
        </w:rPr>
      </w:pPr>
      <w:r>
        <w:rPr>
          <w:rFonts w:ascii="Times New Roman" w:hAnsi="Times New Roman" w:eastAsia="Times New Roman" w:cs="Times New Roman"/>
          <w:i/>
          <w:iCs/>
          <w:rtl w:val="0"/>
        </w:rPr>
        <w:t xml:space="preserve">Figure 3: Soil physicochemical properties across five experimental locations, shown as a row z-score-normalized heatmap (left) and absolute values for key nutrients (right).</w:t>
      </w:r>
      <w:r>
        <w:rPr>
          <w:rFonts w:ascii="Times New Roman" w:hAnsi="Times New Roman" w:cs="Times New Roman"/>
          <w:i/>
          <w:iCs/>
        </w:rPr>
      </w:r>
      <w:r>
        <w:rPr>
          <w:rFonts w:ascii="Times New Roman" w:hAnsi="Times New Roman" w:cs="Times New Roman"/>
          <w:i/>
          <w:iCs/>
        </w:rPr>
      </w:r>
    </w:p>
    <w:p w14:paraId="000000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shd w:val="clear" w:color="auto" w:fill="auto"/>
        </w:rPr>
      </w:pPr>
      <w:r>
        <w:rPr>
          <w:rFonts w:ascii="Times New Roman" w:hAnsi="Times New Roman" w:eastAsia="Times New Roman" w:cs="Times New Roman"/>
          <w:rtl w:val="0"/>
        </w:rPr>
        <w:t xml:space="preserve">Differences in soil traits stood out when comparing the five places (Figure 3). Notably high sulfur </w:t>
      </w:r>
      <w:r>
        <w:rPr>
          <w:rFonts w:ascii="Times New Roman" w:hAnsi="Times New Roman" w:eastAsia="Times New Roman" w:cs="Times New Roman"/>
          <w:rtl w:val="0"/>
        </w:rPr>
        <w:t xml:space="preserve">levels appeared in Godagari, as shown by the adjusted heatmap; this trend lines up with data from the bar graph. There, sulfur topped 60 μg/g, almost twice what was seen in Shyampur, which measured around 32 μg/g. In contrast, phosphorus peaked in Shyampur</w:t>
      </w:r>
      <w:r>
        <w:rPr>
          <w:rFonts w:ascii="Times New Roman" w:hAnsi="Times New Roman" w:eastAsia="Times New Roman" w:cs="Times New Roman"/>
          <w:rtl w:val="0"/>
        </w:rPr>
        <w:t xml:space="preserve"> (~32 μg/g) and Sapaher (~29 μg/g); meanwhile, Nachole, Godagari, and Iswardi held less of it. Across most spots, acidity stayed within a 6–8 range; however, slight upticks occurred in Shyampur and Iswardi. Across locations, organic matter and total nitrog</w:t>
      </w:r>
      <w:r>
        <w:rPr>
          <w:rFonts w:ascii="Times New Roman" w:hAnsi="Times New Roman" w:eastAsia="Times New Roman" w:cs="Times New Roman"/>
          <w:rtl w:val="0"/>
        </w:rPr>
        <w:t xml:space="preserve">en showed similar distribution trends. Shyampur stood out with more organic material, whereas Iswardi had greater amounts of nitrogen. Notably, boron levels rose sharply at Shyampur when compared to the remaining areas. In every site, zinc remained low, ye</w:t>
      </w:r>
      <w:r>
        <w:rPr>
          <w:rFonts w:ascii="Times New Roman" w:hAnsi="Times New Roman" w:eastAsia="Times New Roman" w:cs="Times New Roman"/>
          <w:rtl w:val="0"/>
        </w:rPr>
        <w:t xml:space="preserve">t Nachole displayed a slight upward shift in concentration. Differences in soil properties added complexity to local conditions. Alongside shifts in temperature and rain, these variations influenced how genotypes responded across environments in this work.</w:t>
      </w:r>
      <w:r>
        <w:rPr>
          <w:rFonts w:ascii="Times New Roman" w:hAnsi="Times New Roman" w:cs="Times New Roman"/>
          <w:shd w:val="clear" w:color="auto" w:fill="auto"/>
        </w:rPr>
      </w:r>
      <w:r>
        <w:rPr>
          <w:rFonts w:ascii="Times New Roman" w:hAnsi="Times New Roman" w:cs="Times New Roman"/>
          <w:shd w:val="clear" w:color="auto" w:fill="auto"/>
        </w:rPr>
      </w:r>
    </w:p>
    <w:p w14:paraId="000000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shd w:val="clear" w:color="auto" w:fill="auto"/>
        </w:rPr>
      </w:pPr>
      <w:r>
        <w:rPr>
          <w:rFonts w:ascii="Times New Roman" w:hAnsi="Times New Roman" w:eastAsia="Times New Roman" w:cs="Times New Roman"/>
          <w:rtl w:val="0"/>
        </w:rPr>
        <w:t xml:space="preserve">Climate factors varied so much over time and timing that they created uneven pressure on plants, which is helpful for tracking how differ</w:t>
      </w:r>
      <w:r>
        <w:rPr>
          <w:rFonts w:ascii="Times New Roman" w:hAnsi="Times New Roman" w:eastAsia="Times New Roman" w:cs="Times New Roman"/>
          <w:rtl w:val="0"/>
        </w:rPr>
        <w:t xml:space="preserve">ent genotypes responded across environments when it comes to stable yields. Suddenly, 150 data points materialized: 10 plant types across 5 places, each repeated 3 times. From the very beginning, the main focus was on grain output in kilograms per hectare.</w:t>
      </w:r>
      <w:r>
        <w:rPr>
          <w:rFonts w:ascii="Times New Roman" w:hAnsi="Times New Roman" w:cs="Times New Roman"/>
          <w:shd w:val="clear" w:color="auto" w:fill="auto"/>
        </w:rPr>
      </w:r>
      <w:r>
        <w:rPr>
          <w:rFonts w:ascii="Times New Roman" w:hAnsi="Times New Roman" w:cs="Times New Roman"/>
          <w:shd w:val="clear" w:color="auto" w:fill="auto"/>
        </w:rPr>
      </w:r>
    </w:p>
    <w:p w14:paraId="0000001A">
      <w:pPr>
        <w:pBdr/>
        <w:shd w:val="clear" w:color="auto" w:fill="auto"/>
        <w:spacing/>
        <w:ind/>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1B">
      <w:pPr>
        <w:pBdr/>
        <w:shd w:val="clear" w:color="auto" w:fill="auto"/>
        <w:spacing/>
        <w:ind/>
        <w:rPr>
          <w:rFonts w:ascii="Times New Roman" w:hAnsi="Times New Roman" w:cs="Times New Roman"/>
          <w:b/>
          <w:bCs/>
          <w:color w:val="000000"/>
          <w:sz w:val="28"/>
          <w:szCs w:val="28"/>
        </w:rPr>
      </w:pPr>
      <w:r>
        <w:rPr>
          <w:rFonts w:ascii="Times New Roman" w:hAnsi="Times New Roman" w:eastAsia="Times New Roman" w:cs="Times New Roman"/>
        </w:rPr>
      </w:r>
      <w:bookmarkStart w:id="3" w:name="rt9nge8sq3hh"/>
      <w:r>
        <w:rPr>
          <w:rFonts w:ascii="Times New Roman" w:hAnsi="Times New Roman" w:eastAsia="Times New Roman" w:cs="Times New Roman"/>
        </w:rPr>
      </w:r>
      <w:bookmarkEnd w:id="3"/>
      <w:r>
        <w:rPr>
          <w:rFonts w:ascii="Times New Roman" w:hAnsi="Times New Roman" w:eastAsia="Times New Roman" w:cs="Times New Roman"/>
          <w:b/>
          <w:bCs/>
          <w:color w:val="000000"/>
          <w:sz w:val="28"/>
          <w:szCs w:val="28"/>
          <w:shd w:val="clear" w:color="auto" w:fill="auto"/>
          <w:rtl w:val="0"/>
        </w:rPr>
        <w:t xml:space="preserve">2.2 Dataset</w:t>
      </w:r>
      <w:r>
        <w:rPr>
          <w:rFonts w:ascii="Times New Roman" w:hAnsi="Times New Roman" w:eastAsia="Times New Roman" w:cs="Times New Roman"/>
          <w:b/>
          <w:bCs/>
          <w:sz w:val="28"/>
          <w:szCs w:val="28"/>
          <w:rtl w:val="0"/>
        </w:rPr>
        <w:t xml:space="preserve">,</w:t>
      </w:r>
      <w:r>
        <w:rPr>
          <w:rFonts w:ascii="Times New Roman" w:hAnsi="Times New Roman" w:eastAsia="Times New Roman" w:cs="Times New Roman"/>
          <w:b/>
          <w:bCs/>
          <w:color w:val="000000"/>
          <w:sz w:val="28"/>
          <w:szCs w:val="28"/>
          <w:shd w:val="clear" w:color="auto" w:fill="auto"/>
          <w:rtl w:val="0"/>
        </w:rPr>
        <w:t xml:space="preserve"> Agromorphological Traits and Genetic Background</w:t>
      </w:r>
      <w:r>
        <w:rPr>
          <w:rFonts w:ascii="Times New Roman" w:hAnsi="Times New Roman" w:cs="Times New Roman"/>
          <w:b/>
          <w:bCs/>
          <w:color w:val="000000"/>
          <w:sz w:val="28"/>
          <w:szCs w:val="28"/>
        </w:rPr>
      </w:r>
      <w:r>
        <w:rPr>
          <w:rFonts w:ascii="Times New Roman" w:hAnsi="Times New Roman" w:cs="Times New Roman"/>
          <w:b/>
          <w:bCs/>
          <w:color w:val="000000"/>
          <w:sz w:val="28"/>
          <w:szCs w:val="28"/>
        </w:rPr>
      </w:r>
    </w:p>
    <w:p w14:paraId="0000001C">
      <w:pPr>
        <w:pBdr/>
        <w:shd w:val="clear" w:color="auto" w:fill="auto"/>
        <w:spacing/>
        <w:ind/>
        <w:jc w:val="both"/>
        <w:rPr>
          <w:rFonts w:ascii="Times New Roman" w:hAnsi="Times New Roman" w:cs="Times New Roman"/>
          <w:color w:val="000000"/>
        </w:rPr>
      </w:pPr>
      <w:r>
        <w:rPr>
          <w:rFonts w:ascii="Times New Roman" w:hAnsi="Times New Roman" w:eastAsia="Times New Roman" w:cs="Times New Roman"/>
          <w:b w:val="0"/>
          <w:bCs w:val="0"/>
          <w:color w:val="000000"/>
          <w:sz w:val="24"/>
          <w:szCs w:val="24"/>
          <w:shd w:val="clear" w:color="auto" w:fill="auto"/>
          <w:rtl w:val="0"/>
        </w:rPr>
        <w:t xml:space="preserve">For every mix</w:t>
      </w:r>
      <w:r>
        <w:rPr>
          <w:rFonts w:ascii="Times New Roman" w:hAnsi="Times New Roman" w:eastAsia="Times New Roman" w:cs="Times New Roman"/>
          <w:b w:val="0"/>
          <w:bCs w:val="0"/>
          <w:color w:val="000000"/>
          <w:sz w:val="24"/>
          <w:szCs w:val="24"/>
          <w:shd w:val="clear" w:color="auto" w:fill="auto"/>
          <w:rtl w:val="0"/>
        </w:rPr>
        <w:t xml:space="preserve"> of genotype, place, and repeat test, ten plant features got logged. These grouped under five types tied to how plants live and grow. Timing patterns came first. After that, how well crops settled in mattered too. Then followed signs of leafy development. </w:t>
      </w:r>
      <w:r>
        <w:rPr>
          <w:rFonts w:ascii="Times New Roman" w:hAnsi="Times New Roman" w:eastAsia="Times New Roman" w:cs="Times New Roman"/>
          <w:b w:val="0"/>
          <w:bCs w:val="0"/>
          <w:color w:val="000000"/>
          <w:sz w:val="24"/>
          <w:szCs w:val="24"/>
          <w:rtl w:val="0"/>
        </w:rPr>
        <w:t xml:space="preserve">Then shape and structure arrived. Finally, parts linked to </w:t>
      </w:r>
      <w:r>
        <w:rPr>
          <w:rFonts w:ascii="Times New Roman" w:hAnsi="Times New Roman" w:eastAsia="Times New Roman" w:cs="Times New Roman"/>
          <w:rtl w:val="0"/>
        </w:rPr>
        <w:t xml:space="preserve">the harvest</w:t>
      </w:r>
      <w:r>
        <w:rPr>
          <w:rFonts w:ascii="Times New Roman" w:hAnsi="Times New Roman" w:eastAsia="Times New Roman" w:cs="Times New Roman"/>
          <w:b w:val="0"/>
          <w:bCs w:val="0"/>
          <w:color w:val="000000"/>
          <w:sz w:val="24"/>
          <w:szCs w:val="24"/>
          <w:rtl w:val="0"/>
        </w:rPr>
        <w:t xml:space="preserve"> amount rounded it </w:t>
      </w:r>
      <w:r>
        <w:rPr>
          <w:rFonts w:ascii="Times New Roman" w:hAnsi="Times New Roman" w:eastAsia="Times New Roman" w:cs="Times New Roman"/>
          <w:rtl w:val="0"/>
        </w:rPr>
        <w:t xml:space="preserve">out. </w:t>
      </w:r>
      <w:r>
        <w:rPr>
          <w:rFonts w:ascii="Times New Roman" w:hAnsi="Times New Roman" w:eastAsia="Times New Roman" w:cs="Times New Roman"/>
          <w:b w:val="0"/>
          <w:bCs w:val="0"/>
          <w:color w:val="000000"/>
          <w:sz w:val="24"/>
          <w:szCs w:val="24"/>
          <w:rtl w:val="0"/>
        </w:rPr>
        <w:t xml:space="preserve">In the fields, grain yield was expressed in </w:t>
      </w:r>
      <w:r>
        <w:rPr>
          <w:rFonts w:ascii="Times New Roman" w:hAnsi="Times New Roman" w:eastAsia="Times New Roman" w:cs="Times New Roman"/>
          <w:rtl w:val="0"/>
        </w:rPr>
        <w:t xml:space="preserve">numbers:</w:t>
      </w:r>
      <w:r>
        <w:rPr>
          <w:rFonts w:ascii="Times New Roman" w:hAnsi="Times New Roman" w:eastAsia="Times New Roman" w:cs="Times New Roman"/>
          <w:b w:val="0"/>
          <w:bCs w:val="0"/>
          <w:color w:val="000000"/>
          <w:sz w:val="24"/>
          <w:szCs w:val="24"/>
          <w:rtl w:val="0"/>
        </w:rPr>
        <w:t xml:space="preserve"> kilograms harvested per hectare. That one measure became the primary focus when tracking </w:t>
      </w:r>
      <w:r>
        <w:rPr>
          <w:rFonts w:ascii="Times New Roman" w:hAnsi="Times New Roman" w:eastAsia="Times New Roman" w:cs="Times New Roman"/>
          <w:rtl w:val="0"/>
        </w:rPr>
        <w:t xml:space="preserve">results. </w:t>
      </w:r>
      <w:r>
        <w:rPr>
          <w:rFonts w:ascii="Times New Roman" w:hAnsi="Times New Roman" w:eastAsia="Times New Roman" w:cs="Times New Roman"/>
          <w:b w:val="0"/>
          <w:bCs w:val="0"/>
          <w:color w:val="000000"/>
          <w:sz w:val="24"/>
          <w:szCs w:val="24"/>
          <w:rtl w:val="0"/>
        </w:rPr>
        <w:t xml:space="preserve">Stages of </w:t>
      </w:r>
      <w:r>
        <w:rPr>
          <w:rFonts w:ascii="Times New Roman" w:hAnsi="Times New Roman" w:eastAsia="Times New Roman" w:cs="Times New Roman"/>
          <w:rtl w:val="0"/>
        </w:rPr>
        <w:t xml:space="preserve">plants</w:t>
      </w:r>
      <w:r>
        <w:rPr>
          <w:rFonts w:ascii="Times New Roman" w:hAnsi="Times New Roman" w:eastAsia="Times New Roman" w:cs="Times New Roman"/>
          <w:b w:val="0"/>
          <w:bCs w:val="0"/>
          <w:color w:val="000000"/>
          <w:sz w:val="24"/>
          <w:szCs w:val="24"/>
          <w:rtl w:val="0"/>
        </w:rPr>
        <w:t xml:space="preserve"> came at different times. Emergence was after </w:t>
      </w:r>
      <w:r>
        <w:rPr>
          <w:rFonts w:ascii="Times New Roman" w:hAnsi="Times New Roman" w:eastAsia="Times New Roman" w:cs="Times New Roman"/>
          <w:rtl w:val="0"/>
        </w:rPr>
        <w:t xml:space="preserve">a certain</w:t>
      </w:r>
      <w:r>
        <w:rPr>
          <w:rFonts w:ascii="Times New Roman" w:hAnsi="Times New Roman" w:eastAsia="Times New Roman" w:cs="Times New Roman"/>
          <w:b w:val="0"/>
          <w:bCs w:val="0"/>
          <w:color w:val="000000"/>
          <w:sz w:val="24"/>
          <w:szCs w:val="24"/>
          <w:rtl w:val="0"/>
        </w:rPr>
        <w:t xml:space="preserve"> number of days. Flowering was later than planting and counted from it. Then came maturity, another period of time. At each stage, the length of the crop cycle was mapped </w:t>
      </w:r>
      <w:r>
        <w:rPr>
          <w:rFonts w:ascii="Times New Roman" w:hAnsi="Times New Roman" w:eastAsia="Times New Roman" w:cs="Times New Roman"/>
          <w:rtl w:val="0"/>
        </w:rPr>
        <w:t xml:space="preserve">out. </w:t>
      </w:r>
      <w:r>
        <w:rPr>
          <w:rFonts w:ascii="Times New Roman" w:hAnsi="Times New Roman" w:eastAsia="Times New Roman" w:cs="Times New Roman"/>
          <w:b w:val="0"/>
          <w:bCs w:val="0"/>
          <w:color w:val="000000"/>
          <w:sz w:val="24"/>
          <w:szCs w:val="24"/>
          <w:rtl w:val="0"/>
        </w:rPr>
        <w:t xml:space="preserve">The initial score for plant strength indicates how successfully seedlings established and persisted in the early </w:t>
      </w:r>
      <w:r>
        <w:rPr>
          <w:rFonts w:ascii="Times New Roman" w:hAnsi="Times New Roman" w:eastAsia="Times New Roman" w:cs="Times New Roman"/>
          <w:rtl w:val="0"/>
        </w:rPr>
        <w:t xml:space="preserve">stages. </w:t>
      </w:r>
      <w:r>
        <w:rPr>
          <w:rFonts w:ascii="Times New Roman" w:hAnsi="Times New Roman" w:eastAsia="Times New Roman" w:cs="Times New Roman"/>
          <w:b w:val="0"/>
          <w:bCs w:val="0"/>
          <w:color w:val="000000"/>
          <w:sz w:val="24"/>
          <w:szCs w:val="24"/>
          <w:rtl w:val="0"/>
        </w:rPr>
        <w:t xml:space="preserve">The height of </w:t>
      </w:r>
      <w:r>
        <w:rPr>
          <w:rFonts w:ascii="Times New Roman" w:hAnsi="Times New Roman" w:eastAsia="Times New Roman" w:cs="Times New Roman"/>
          <w:rtl w:val="0"/>
        </w:rPr>
        <w:t xml:space="preserve">the fully</w:t>
      </w:r>
      <w:r>
        <w:rPr>
          <w:rFonts w:ascii="Times New Roman" w:hAnsi="Times New Roman" w:eastAsia="Times New Roman" w:cs="Times New Roman"/>
          <w:b w:val="0"/>
          <w:bCs w:val="0"/>
          <w:color w:val="000000"/>
          <w:sz w:val="24"/>
          <w:szCs w:val="24"/>
          <w:rtl w:val="0"/>
        </w:rPr>
        <w:t xml:space="preserve"> grown plant was recorded in cm. When the crops were harvested, the height of each was </w:t>
      </w:r>
      <w:r>
        <w:rPr>
          <w:rFonts w:ascii="Times New Roman" w:hAnsi="Times New Roman" w:eastAsia="Times New Roman" w:cs="Times New Roman"/>
          <w:rtl w:val="0"/>
        </w:rPr>
        <w:t xml:space="preserve">clear. </w:t>
      </w:r>
      <w:r>
        <w:rPr>
          <w:rFonts w:ascii="Times New Roman" w:hAnsi="Times New Roman" w:eastAsia="Times New Roman" w:cs="Times New Roman"/>
          <w:b w:val="0"/>
          <w:bCs w:val="0"/>
          <w:color w:val="000000"/>
          <w:sz w:val="24"/>
          <w:szCs w:val="24"/>
          <w:rtl w:val="0"/>
        </w:rPr>
        <w:t xml:space="preserve">The plant structure showed how many stems arose from each individual. Branch count showed the shape of green parts above ground </w:t>
      </w:r>
      <w:r>
        <w:rPr>
          <w:rFonts w:ascii="Times New Roman" w:hAnsi="Times New Roman" w:eastAsia="Times New Roman" w:cs="Times New Roman"/>
          <w:rtl w:val="0"/>
        </w:rPr>
        <w:t xml:space="preserve">level. Pods were</w:t>
      </w:r>
      <w:r>
        <w:rPr>
          <w:rFonts w:ascii="Times New Roman" w:hAnsi="Times New Roman" w:eastAsia="Times New Roman" w:cs="Times New Roman"/>
          <w:b w:val="0"/>
          <w:bCs w:val="0"/>
          <w:color w:val="000000"/>
          <w:sz w:val="24"/>
          <w:szCs w:val="24"/>
          <w:rtl w:val="0"/>
        </w:rPr>
        <w:t xml:space="preserve"> counted separately for each plant. Seeds inside each </w:t>
      </w:r>
      <w:r>
        <w:rPr>
          <w:rFonts w:ascii="Times New Roman" w:hAnsi="Times New Roman" w:eastAsia="Times New Roman" w:cs="Times New Roman"/>
          <w:rtl w:val="0"/>
        </w:rPr>
        <w:t xml:space="preserve">pod were</w:t>
      </w:r>
      <w:r>
        <w:rPr>
          <w:rFonts w:ascii="Times New Roman" w:hAnsi="Times New Roman" w:eastAsia="Times New Roman" w:cs="Times New Roman"/>
          <w:b w:val="0"/>
          <w:bCs w:val="0"/>
          <w:color w:val="000000"/>
          <w:sz w:val="24"/>
          <w:szCs w:val="24"/>
          <w:rtl w:val="0"/>
        </w:rPr>
        <w:t xml:space="preserve"> recorded after . Weight of 1000 seeds taken in grams. These three things together give you the amount of grain produced.</w:t>
      </w:r>
      <w:r>
        <w:rPr>
          <w:rFonts w:ascii="Times New Roman" w:hAnsi="Times New Roman" w:cs="Times New Roman"/>
          <w:color w:val="000000"/>
        </w:rPr>
      </w:r>
      <w:r>
        <w:rPr>
          <w:rFonts w:ascii="Times New Roman" w:hAnsi="Times New Roman" w:cs="Times New Roman"/>
          <w:color w:val="000000"/>
        </w:rPr>
      </w:r>
    </w:p>
    <w:p w14:paraId="0000001D">
      <w:pPr>
        <w:pBdr/>
        <w:shd w:val="clear" w:color="auto" w:fill="auto"/>
        <w:spacing/>
        <w:ind/>
        <w:jc w:val="both"/>
        <w:rPr>
          <w:rFonts w:ascii="Times New Roman" w:hAnsi="Times New Roman" w:cs="Times New Roman"/>
          <w:color w:val="000000"/>
          <w:sz w:val="24"/>
          <w:szCs w:val="24"/>
        </w:rPr>
      </w:pPr>
      <w:r>
        <w:rPr>
          <w:rFonts w:ascii="Times New Roman" w:hAnsi="Times New Roman" w:eastAsia="Times New Roman" w:cs="Times New Roman"/>
          <w:b w:val="0"/>
          <w:bCs w:val="0"/>
          <w:color w:val="000000"/>
          <w:sz w:val="24"/>
          <w:szCs w:val="24"/>
          <w:rtl w:val="0"/>
        </w:rPr>
        <w:t xml:space="preserve">Most of the characteristics were used as inputs to the next machine learning setups, except for GY. The data set consisted of eight </w:t>
      </w:r>
      <w:r>
        <w:rPr>
          <w:rFonts w:ascii="Times New Roman" w:hAnsi="Times New Roman" w:eastAsia="Times New Roman" w:cs="Times New Roman"/>
          <w:b w:val="0"/>
          <w:bCs w:val="0"/>
          <w:color w:val="000000"/>
          <w:sz w:val="24"/>
          <w:szCs w:val="24"/>
          <w:rtl w:val="0"/>
        </w:rPr>
        <w:t xml:space="preserve">heat-resilient varieties and two heat-sensitive varieties, which allowed a comparison of yield stability under changing weather conditions. Complete lineup of these varieties, where they came from within ICARDA, with their assigned response to heat stress.</w:t>
      </w:r>
      <w:r>
        <w:rPr>
          <w:rFonts w:ascii="Times New Roman" w:hAnsi="Times New Roman" w:cs="Times New Roman"/>
          <w:color w:val="000000"/>
          <w:sz w:val="24"/>
          <w:szCs w:val="24"/>
        </w:rPr>
      </w:r>
      <w:r>
        <w:rPr>
          <w:rFonts w:ascii="Times New Roman" w:hAnsi="Times New Roman" w:cs="Times New Roman"/>
          <w:color w:val="000000"/>
          <w:sz w:val="24"/>
          <w:szCs w:val="24"/>
        </w:rPr>
      </w:r>
    </w:p>
    <w:p w14:paraId="0000001E">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4" w:name="1m64eepn1g3z"/>
      <w:r>
        <w:rPr>
          <w:rFonts w:ascii="Times New Roman" w:hAnsi="Times New Roman" w:eastAsia="Times New Roman" w:cs="Times New Roman"/>
        </w:rPr>
      </w:r>
      <w:bookmarkEnd w:id="4"/>
      <w:r>
        <w:rPr>
          <w:rFonts w:ascii="Times New Roman" w:hAnsi="Times New Roman" w:eastAsia="Times New Roman" w:cs="Times New Roman"/>
          <w:color w:val="000000"/>
          <w:shd w:val="clear" w:color="auto" w:fill="auto"/>
          <w:rtl w:val="0"/>
        </w:rPr>
        <w:t xml:space="preserve">2.3 Data Preprocessing</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1F">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5" w:name="3d71shp2z9qr"/>
      <w:r>
        <w:rPr>
          <w:rFonts w:ascii="Times New Roman" w:hAnsi="Times New Roman" w:eastAsia="Times New Roman" w:cs="Times New Roman"/>
        </w:rPr>
      </w:r>
      <w:bookmarkEnd w:id="5"/>
      <w:r>
        <w:rPr>
          <w:rFonts w:ascii="Times New Roman" w:hAnsi="Times New Roman" w:eastAsia="Times New Roman" w:cs="Times New Roman"/>
          <w:color w:val="000000"/>
          <w:shd w:val="clear" w:color="auto" w:fill="auto"/>
          <w:rtl w:val="0"/>
        </w:rPr>
        <w:t xml:space="preserve">2.3.1 Missing Value Imputation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Missing values in all numeric trait columns were imputed using column-wise median values. For </w:t>
      </w:r>
      <w:r>
        <w:rPr>
          <w:rFonts w:ascii="Times New Roman" w:hAnsi="Times New Roman" w:eastAsia="Times New Roman" w:cs="Times New Roman"/>
          <w:color w:val="000000"/>
          <w:shd w:val="clear" w:color="auto" w:fill="auto"/>
          <w:rtl w:val="0"/>
        </w:rPr>
        <w:t xml:space="preserve">the feature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column </w:t>
      </w: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missing values </w:t>
      </w: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are replaced </w:t>
      </w:r>
      <w:r>
        <w:rPr>
          <w:rFonts w:ascii="Times New Roman" w:hAnsi="Times New Roman" w:eastAsia="Times New Roman" w:cs="Times New Roman"/>
          <w:color w:val="000000"/>
          <w:shd w:val="clear" w:color="auto" w:fill="auto"/>
          <w:rtl w:val="0"/>
        </w:rPr>
        <w:t xml:space="preserve">by the following:</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1">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=median</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 missing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2">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6" w:name="jrp8b176ipoc"/>
      <w:r>
        <w:rPr>
          <w:rFonts w:ascii="Times New Roman" w:hAnsi="Times New Roman" w:eastAsia="Times New Roman" w:cs="Times New Roman"/>
        </w:rPr>
      </w:r>
      <w:bookmarkEnd w:id="6"/>
      <w:r>
        <w:rPr>
          <w:rFonts w:ascii="Times New Roman" w:hAnsi="Times New Roman" w:eastAsia="Times New Roman" w:cs="Times New Roman"/>
          <w:color w:val="000000"/>
          <w:shd w:val="clear" w:color="auto" w:fill="auto"/>
          <w:rtl w:val="0"/>
        </w:rPr>
        <w:t xml:space="preserve">2.3.2 Outlier Removal</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Outliers in the target variable (GY) and biomass yield variables were identified and removed using the </w:t>
      </w:r>
      <w:r>
        <w:rPr>
          <w:rFonts w:ascii="Times New Roman" w:hAnsi="Times New Roman" w:eastAsia="Times New Roman" w:cs="Times New Roman"/>
          <w:rtl w:val="0"/>
        </w:rPr>
        <w:t xml:space="preserve">interquartile range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(IQR) method. Bounds are computed as:</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=25th percentile</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5">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=75th percentile</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IQR=</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7">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LB=</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−1.5×IQR; UB=</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+1.5×IQR</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Observations outside [LB, UB] are excluded. </w:t>
      </w:r>
      <w:r>
        <w:rPr>
          <w:rFonts w:ascii="Times New Roman" w:hAnsi="Times New Roman" w:eastAsia="Times New Roman" w:cs="Times New Roman"/>
          <w:color w:val="000000"/>
          <w:shd w:val="clear" w:color="auto" w:fill="auto"/>
          <w:rtl w:val="0"/>
        </w:rPr>
        <w:t xml:space="preserve">The algorithm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retained 150 samples from 150 observations.</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9">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7" w:name="cuqz7olgwtyl"/>
      <w:r>
        <w:rPr>
          <w:rFonts w:ascii="Times New Roman" w:hAnsi="Times New Roman" w:eastAsia="Times New Roman" w:cs="Times New Roman"/>
        </w:rPr>
      </w:r>
      <w:bookmarkEnd w:id="7"/>
      <w:r>
        <w:rPr>
          <w:rFonts w:ascii="Times New Roman" w:hAnsi="Times New Roman" w:eastAsia="Times New Roman" w:cs="Times New Roman"/>
          <w:color w:val="000000"/>
          <w:shd w:val="clear" w:color="auto" w:fill="auto"/>
          <w:rtl w:val="0"/>
        </w:rPr>
        <w:t xml:space="preserve">2.3.3 Categorical Encoding</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Categorical variables for location (L) and genotype (Gen) were transformed using </w:t>
      </w:r>
      <w:r>
        <w:rPr>
          <w:rFonts w:ascii="Times New Roman" w:hAnsi="Times New Roman" w:eastAsia="Times New Roman" w:cs="Times New Roman"/>
          <w:color w:val="000000"/>
          <w:shd w:val="clear" w:color="auto" w:fill="auto"/>
          <w:rtl w:val="0"/>
        </w:rPr>
        <w:t xml:space="preserve">one-hot encoding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with drop_first=False. For </w:t>
      </w:r>
      <w:r>
        <w:rPr>
          <w:rFonts w:ascii="Times New Roman" w:hAnsi="Times New Roman" w:eastAsia="Times New Roman" w:cs="Times New Roman"/>
          <w:color w:val="000000"/>
          <w:shd w:val="clear" w:color="auto" w:fill="auto"/>
          <w:rtl w:val="0"/>
        </w:rPr>
        <w:t xml:space="preserve">a categorical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variable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with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categories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B">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OHE</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 if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else 0, j=1,2,…,k</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This process applied </w:t>
      </w:r>
      <w:r>
        <w:rPr>
          <w:rFonts w:ascii="Times New Roman" w:hAnsi="Times New Roman" w:eastAsia="Times New Roman" w:cs="Times New Roman"/>
          <w:rtl w:val="0"/>
        </w:rPr>
        <w:t xml:space="preserve">location</w:t>
      </w:r>
      <w:r>
        <w:rPr>
          <w:rFonts w:ascii="Times New Roman" w:hAnsi="Times New Roman" w:eastAsia="Times New Roman" w:cs="Times New Roman"/>
          <w:color w:val="000000"/>
          <w:shd w:val="clear" w:color="auto" w:fill="auto"/>
          <w:rtl w:val="0"/>
        </w:rPr>
        <w:t xml:space="preserve"> (5 levels : 5 binary columns) and </w:t>
      </w:r>
      <w:r>
        <w:rPr>
          <w:rFonts w:ascii="Times New Roman" w:hAnsi="Times New Roman" w:eastAsia="Times New Roman" w:cs="Times New Roman"/>
          <w:rtl w:val="0"/>
        </w:rPr>
        <w:t xml:space="preserve">genotype</w:t>
      </w:r>
      <w:r>
        <w:rPr>
          <w:rFonts w:ascii="Times New Roman" w:hAnsi="Times New Roman" w:eastAsia="Times New Roman" w:cs="Times New Roman"/>
          <w:color w:val="000000"/>
          <w:shd w:val="clear" w:color="auto" w:fill="auto"/>
          <w:rtl w:val="0"/>
        </w:rPr>
        <w:t xml:space="preserve"> (10 levels : 10 binary columns), resulting in a final 31-dimensional feature space.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D">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8" w:name="3bvi33fsbn98"/>
      <w:r>
        <w:rPr>
          <w:rFonts w:ascii="Times New Roman" w:hAnsi="Times New Roman" w:eastAsia="Times New Roman" w:cs="Times New Roman"/>
        </w:rPr>
      </w:r>
      <w:bookmarkEnd w:id="8"/>
      <w:r>
        <w:rPr>
          <w:rFonts w:ascii="Times New Roman" w:hAnsi="Times New Roman" w:eastAsia="Times New Roman" w:cs="Times New Roman"/>
          <w:color w:val="000000"/>
          <w:shd w:val="clear" w:color="auto" w:fill="auto"/>
          <w:rtl w:val="0"/>
        </w:rPr>
        <w:t xml:space="preserve">2.4 Feature Engineering</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 capture non-linear and interactive agronomic relationships, seven additional engineered features were derived from the base numeric variables (Table 1). </w:t>
      </w:r>
      <w:r>
        <w:rPr>
          <w:rFonts w:ascii="Times New Roman" w:hAnsi="Times New Roman" w:eastAsia="Times New Roman" w:cs="Times New Roman"/>
          <w:color w:val="000000"/>
          <w:shd w:val="clear" w:color="auto" w:fill="auto"/>
          <w:rtl w:val="0"/>
        </w:rPr>
        <w:t xml:space="preserve">Where PH = plant height, DF = days until flowering, DM = days until maturity, BP = branches per plant, and PP = pods per plant.</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Table 1: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Engineered features with mathematical formulations and agronomic rationale.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bl>
      <w:tblPr>
        <w:tblStyle w:val="898"/>
        <w:tblInd w:w="-100" w:type="dxa"/>
        <w:tblW w:w="9015" w:type="dxa"/>
        <w:tblBorders/>
        <w:tblLayout w:type="fixed"/>
        <w:tblLook w:val="0020" w:firstRow="1" w:lastRow="0" w:firstColumn="0" w:lastColumn="0" w:noHBand="0" w:noVBand="0"/>
      </w:tblPr>
      <w:tblGrid>
        <w:gridCol w:w="795"/>
        <w:gridCol w:w="2445"/>
        <w:gridCol w:w="1905"/>
        <w:gridCol w:w="3870"/>
        <w:tblGridChange w:id="0">
          <w:tblGrid>
            <w:gridCol w:w="795"/>
            <w:gridCol w:w="2445"/>
            <w:gridCol w:w="1905"/>
            <w:gridCol w:w="3870"/>
          </w:tblGrid>
        </w:tblGridChange>
      </w:tblGrid>
      <w:tr>
        <w:trPr>
          <w:cantSplit w:val="false"/>
          <w:tblHeader/>
        </w:trPr>
        <w:tc>
          <w:tcPr>
            <w:tcBorders>
              <w:top w:val="single" w:color="000000" w:sz="4" w:space="0"/>
              <w:left w:val="single" w:color="000000" w:sz="4" w:space="0"/>
              <w:bottom w:val="single" w:color="000000" w:sz="4" w:space="0"/>
              <w:right w:val="single" w:color="000000" w:sz="4" w:space="0"/>
            </w:tcBorders>
            <w:textDirection w:val="lrTb"/>
            <w:noWrap w:val="false"/>
          </w:tcPr>
          <w:p w14:paraId="00000030">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No</w:t>
            </w:r>
            <w:r>
              <w:rPr>
                <w:rFonts w:ascii="Times New Roman" w:hAnsi="Times New Roman" w:cs="Times New Roman"/>
                <w:b/>
                <w:bCs/>
                <w:i w:val="0"/>
                <w:iCs w:val="0"/>
                <w:smallCaps w:val="0"/>
                <w:strike w:val="0"/>
                <w:color w:val="000000"/>
                <w:sz w:val="24"/>
                <w:szCs w:val="24"/>
                <w:u w:val="none"/>
                <w:shd w:val="clear" w:color="auto" w:fill="auto"/>
                <w:vertAlign w:val="baseline"/>
              </w:rPr>
            </w:r>
            <w:r>
              <w:rPr>
                <w:rFonts w:ascii="Times New Roman" w:hAnsi="Times New Roman" w:cs="Times New Roman"/>
                <w:b/>
                <w:bCs/>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1">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Feature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2">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Formula</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Agronomic Rationale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528"/>
        </w:trPr>
        <w:tc>
          <w:tcPr>
            <w:tcBorders>
              <w:top w:val="single" w:color="000000" w:sz="4" w:space="0"/>
              <w:left w:val="single" w:color="000000" w:sz="4" w:space="0"/>
              <w:bottom w:val="single" w:color="000000" w:sz="4" w:space="0"/>
              <w:right w:val="single" w:color="000000" w:sz="4" w:space="0"/>
            </w:tcBorders>
            <w:textDirection w:val="lrTb"/>
            <w:noWrap w:val="false"/>
          </w:tcPr>
          <w:p w14:paraId="0000003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1</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PH_DF_Ratio</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=PH/</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DF+1</m:t>
                    </m:r>
                  </m:e>
                </m: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Relative growth rate before flowering</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3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2</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DM_DF_Difference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=DM−DF</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Grain-filling period duration</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4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3</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PH_DM_Interaction</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=PH×DM</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Joint effect of plant height and days to maturity on yield</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4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4</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DF_BP_Interaction</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4</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=DF×BP</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Branch development relative to flowering time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5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5</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PH_Squared</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5</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Non-linear effect of plant height</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5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6</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DF_Squared</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6</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6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Non-linear effect of days to flowering</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744"/>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7</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6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PP_Squared</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6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7</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6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Non-linear effect of pods per plant</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c>
      </w:tr>
    </w:tbl>
    <w:p w14:paraId="0000006C">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6D">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9" w:name="kxgvck37y42t"/>
      <w:r>
        <w:rPr>
          <w:rFonts w:ascii="Times New Roman" w:hAnsi="Times New Roman" w:eastAsia="Times New Roman" w:cs="Times New Roman"/>
        </w:rPr>
      </w:r>
      <w:bookmarkEnd w:id="9"/>
      <w:r>
        <w:rPr>
          <w:rFonts w:ascii="Times New Roman" w:hAnsi="Times New Roman" w:eastAsia="Times New Roman" w:cs="Times New Roman"/>
          <w:color w:val="000000"/>
          <w:shd w:val="clear" w:color="auto" w:fill="auto"/>
          <w:rtl w:val="0"/>
        </w:rPr>
        <w:t xml:space="preserve">2.5 Feature Scaling</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All numeric features were standardized using StandardScaler (zero mean, unit variance) prior to model training:</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6F">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num>
            <m:den>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Both </w:t>
      </w: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rtl w:val="0"/>
        </w:rPr>
        <w:t xml:space="preserve">&amp; </w:t>
      </w: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were computed exclusively on training data to prevent information leakage. This step is critical for distance-based and regularized models (KNN, SVR, Ridge, Lasso, ElasticNet).</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1">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0" w:name="t5s51imda40p"/>
      <w:r>
        <w:rPr>
          <w:rFonts w:ascii="Times New Roman" w:hAnsi="Times New Roman" w:eastAsia="Times New Roman" w:cs="Times New Roman"/>
        </w:rPr>
      </w:r>
      <w:bookmarkEnd w:id="10"/>
      <w:r>
        <w:rPr>
          <w:rFonts w:ascii="Times New Roman" w:hAnsi="Times New Roman" w:eastAsia="Times New Roman" w:cs="Times New Roman"/>
          <w:color w:val="000000"/>
          <w:shd w:val="clear" w:color="auto" w:fill="auto"/>
          <w:rtl w:val="0"/>
        </w:rPr>
        <w:t xml:space="preserve">2.6 Dimensionality Reduction and Visualization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72">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1" w:name="emei9awaf9j"/>
      <w:r>
        <w:rPr>
          <w:rFonts w:ascii="Times New Roman" w:hAnsi="Times New Roman" w:eastAsia="Times New Roman" w:cs="Times New Roman"/>
        </w:rPr>
      </w:r>
      <w:bookmarkEnd w:id="11"/>
      <w:r>
        <w:rPr>
          <w:rFonts w:ascii="Times New Roman" w:hAnsi="Times New Roman" w:eastAsia="Times New Roman" w:cs="Times New Roman"/>
          <w:color w:val="000000"/>
          <w:shd w:val="clear" w:color="auto" w:fill="auto"/>
          <w:rtl w:val="0"/>
        </w:rPr>
        <w:t xml:space="preserve">2.6.1 UMAP</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UMAP constructs a fuzzy topological representation of the high-dimensional data. High-dimensional membership strength:</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=exp​</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ρ</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num>
                <m:den>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den>
              </m:f>
            </m:e>
          </m: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Low-dimensional membership strength:</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low</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1+a⋅d</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2b</m:t>
                      </m:r>
                    </m:sup>
                  </m:sSup>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embedding minimizes the cross-entropy loss between the two representations:</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8">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UMAP</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e>
              </m:d>
            </m:sub>
            <m:sup>
              <m:r>
                <w:rPr>
                  <w:rFonts w:hint="default" w:ascii="Cambria Math" w:hAnsi="Cambria Math" w:eastAsia="Cambria Math" w:cs="Cambria Math"/>
                </w:rPr>
                <m:rPr/>
                <m:t/>
              </m:r>
            </m:sup>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log</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p>
                    </m:num>
                    <m:den>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low</m:t>
                          </m:r>
                        </m:sup>
                      </m:sSup>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p>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log</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p>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low</m:t>
                          </m:r>
                        </m:sup>
                      </m:sSup>
                    </m:den>
                  </m:f>
                </m:e>
              </m:d>
            </m:e>
          </m:nary>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9">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Parameters: n_neighbors = 15, min_dist = 0.1, random_state = 42, n_components ∈ {2, 3}.</w:t>
      </w:r>
      <w:r>
        <w:rPr>
          <w:rFonts w:ascii="Times New Roman" w:hAnsi="Times New Roman" w:eastAsia="Times New Roman" w:cs="Times New Roman"/>
          <w:rtl w:val="0"/>
        </w:rPr>
        <w:t xml:space="preserve"> [19]</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B">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2" w:name="522cwkrg823y"/>
      <w:r>
        <w:rPr>
          <w:rFonts w:ascii="Times New Roman" w:hAnsi="Times New Roman" w:eastAsia="Times New Roman" w:cs="Times New Roman"/>
        </w:rPr>
      </w:r>
      <w:bookmarkEnd w:id="12"/>
      <w:r>
        <w:rPr>
          <w:rFonts w:ascii="Times New Roman" w:hAnsi="Times New Roman" w:eastAsia="Times New Roman" w:cs="Times New Roman"/>
          <w:color w:val="000000"/>
          <w:shd w:val="clear" w:color="auto" w:fill="auto"/>
          <w:rtl w:val="0"/>
        </w:rPr>
        <w:t xml:space="preserve">2.6.2 t-SNE</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t-SNE models pairwise similarity using Gaussian (high-dimensional) and </w:t>
      </w:r>
      <w:r>
        <w:rPr>
          <w:rFonts w:ascii="Times New Roman" w:hAnsi="Times New Roman" w:eastAsia="Times New Roman" w:cs="Times New Roman"/>
          <w:rtl w:val="0"/>
        </w:rPr>
        <w:t xml:space="preserve">Student's 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(low-dimensional) </w:t>
      </w:r>
      <w:r>
        <w:rPr>
          <w:rFonts w:ascii="Times New Roman" w:hAnsi="Times New Roman" w:eastAsia="Times New Roman" w:cs="Times New Roman"/>
          <w:rtl w:val="0"/>
        </w:rPr>
        <w:t xml:space="preserve">kernels.</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D">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exp</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d>
            </m:num>
            <m:den>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k≠i</m:t>
                  </m:r>
                </m:sub>
                <m:sup>
                  <m:r>
                    <w:rPr>
                      <w:rFonts w:hint="default" w:ascii="Cambria Math" w:hAnsi="Cambria Math" w:eastAsia="Cambria Math" w:cs="Cambria Math"/>
                    </w:rPr>
                    <m:rPr/>
                    <m:t/>
                  </m:r>
                </m:sup>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exp</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d>
                </m:e>
              </m:nary>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2n</m:t>
              </m:r>
            </m:den>
          </m:f>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num>
            <m:den>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k≠l</m:t>
                  </m:r>
                </m:sub>
                <m:sup>
                  <m:r>
                    <w:rPr>
                      <w:rFonts w:hint="default" w:ascii="Cambria Math" w:hAnsi="Cambria Math" w:eastAsia="Cambria Math" w:cs="Cambria Math"/>
                    </w:rPr>
                    <m:rPr/>
                    <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sub>
                          </m:sSub>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e>
              </m:nary>
            </m:den>
          </m:f>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embedding is learned by minimizing KL divergence: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80">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t-SNE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=KL</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P∥Q</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up>
              <m:r>
                <w:rPr>
                  <w:rFonts w:hint="default" w:ascii="Cambria Math" w:hAnsi="Cambria Math" w:eastAsia="Cambria Math" w:cs="Cambria Math"/>
                </w:rPr>
                <m:rPr/>
                <m:t/>
              </m:r>
            </m:sup>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log</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num>
                <m:den>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den>
              </m:f>
            </m:e>
          </m:nary>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Parameters: perplexity = 30, random_state = 42, n_components ∈ {2, 3}. Results visualized in Figures </w:t>
      </w:r>
      <w:r>
        <w:rPr>
          <w:rFonts w:ascii="Times New Roman" w:hAnsi="Times New Roman" w:eastAsia="Times New Roman" w:cs="Times New Roman"/>
          <w:rtl w:val="0"/>
        </w:rPr>
        <w:t xml:space="preserve">5-9 [20], [21].</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83">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3" w:name="wasaaufxze3i"/>
      <w:r>
        <w:rPr>
          <w:rFonts w:ascii="Times New Roman" w:hAnsi="Times New Roman" w:eastAsia="Times New Roman" w:cs="Times New Roman"/>
        </w:rPr>
      </w:r>
      <w:bookmarkEnd w:id="13"/>
      <w:r>
        <w:rPr>
          <w:rFonts w:ascii="Times New Roman" w:hAnsi="Times New Roman" w:eastAsia="Times New Roman" w:cs="Times New Roman"/>
          <w:color w:val="000000"/>
          <w:shd w:val="clear" w:color="auto" w:fill="auto"/>
          <w:rtl w:val="0"/>
        </w:rPr>
        <w:t xml:space="preserve">2.7 Machine Learning Models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84">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2.7.1 Data Partitioning and Training Models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preprocessed dataset (n = 150) was split into training (80%, n = 120) and test (20%, n = </w:t>
      </w:r>
      <w:r>
        <w:rPr>
          <w:rFonts w:ascii="Times New Roman" w:hAnsi="Times New Roman" w:eastAsia="Times New Roman" w:cs="Times New Roman"/>
          <w:color w:val="000000"/>
          <w:shd w:val="clear" w:color="auto" w:fill="auto"/>
          <w:rtl w:val="0"/>
        </w:rPr>
        <w:t xml:space="preserve">30).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All preprocessing steps (scaling, encoding) were fitted only on training data and applied to test data.</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86">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2.7.2 Model Formulations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Twelve regressors spanning diverse algorithmic paradigms were trained and benchmarked:</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88">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rPr>
      </w:r>
      <w:bookmarkStart w:id="14" w:name="kh4tfnoc4u5j"/>
      <w:r>
        <w:rPr>
          <w:rFonts w:ascii="Times New Roman" w:hAnsi="Times New Roman" w:eastAsia="Times New Roman" w:cs="Times New Roman"/>
        </w:rPr>
      </w:r>
      <w:bookmarkEnd w:id="14"/>
      <w:r>
        <w:rPr>
          <w:rFonts w:ascii="Times New Roman" w:hAnsi="Times New Roman" w:eastAsia="Times New Roman" w:cs="Times New Roman"/>
          <w:b/>
          <w:bCs/>
          <w:color w:val="000000"/>
          <w:shd w:val="clear" w:color="auto" w:fill="auto"/>
          <w:rtl w:val="0"/>
        </w:rPr>
        <w:t xml:space="preserve">Linear Regression (OLS)</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89">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0</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β, </m:t>
          </m:r>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acc>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8A">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Ridge Regression (Best Model) </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8B">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rPr>
                  </m:ctrlPr>
                </m:accPr>
                <m:e>
                  <m:r>
                    <w:rPr>
                      <w:rFonts w:hint="default" w:ascii="Cambria Math" w:hAnsi="Cambria Math" w:eastAsia="Cambria Math" w:cs="Cambria Math"/>
                    </w:rPr>
                    <m:rPr/>
                    <m:t>β</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Ridge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=arg</m:t>
          </m:r>
          <m:limLow>
            <m:limLow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min</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lim>
          </m:limLow>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nary>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X+αI</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8E">
      <w:pPr>
        <w:pBdr/>
        <w:shd w:val="clear" w:color="auto" w:fill="auto"/>
        <w:spacing/>
        <w:ind/>
        <w:jc w:val="left"/>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t xml:space="preserve">[6], [7]</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Tuned: α ∈ {0.1, 1.0, 10.0}. </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8F">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Lasso Regression (L1 Regularization)</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90">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rPr>
                  </m:ctrlPr>
                </m:accPr>
                <m:e>
                  <m:r>
                    <w:rPr>
                      <w:rFonts w:hint="default" w:ascii="Cambria Math" w:hAnsi="Cambria Math" w:eastAsia="Cambria Math" w:cs="Cambria Math"/>
                    </w:rPr>
                    <m:rPr/>
                    <m:t>β</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Lasso</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=arg</m:t>
          </m:r>
          <m:limLow>
            <m:limLow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min</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lim>
          </m:limLow>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e>
              </m:nary>
            </m:e>
          </m: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α ∈ {0.001, 0.01, 0.1}.</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3">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ElasticNet (L1 + L2 Regularization)</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9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rPr>
                  </m:ctrlPr>
                </m:accPr>
                <m:e>
                  <m:r>
                    <w:rPr>
                      <w:rFonts w:hint="default" w:ascii="Cambria Math" w:hAnsi="Cambria Math" w:eastAsia="Cambria Math" w:cs="Cambria Math"/>
                    </w:rPr>
                    <m:rPr/>
                    <m:t>β</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EN</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=arg</m:t>
          </m:r>
          <m:limLow>
            <m:limLow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min</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lim>
          </m:limLow>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ρ</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1−ρ</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nary>
                </m:e>
              </m:d>
            </m:e>
          </m: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α ∈ {0.1, 1.0}, ρ ∈ {0.3, 0.5, 0.7}. </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6">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Bayesian Ridge Regression </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97">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rPr>
                  </m:ctrlPr>
                </m:accPr>
                <m:e>
                  <m:r>
                    <w:rPr>
                      <w:rFonts w:hint="default" w:ascii="Cambria Math" w:hAnsi="Cambria Math" w:eastAsia="Cambria Math" w:cs="Cambria Math"/>
                    </w:rPr>
                    <m:rPr/>
                    <m:t>β</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Bayes</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X+λI</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Hyperparameters α₁, λ₁ tuned from {10⁻⁶, 10⁻⁴}. </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9">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K-Nearest Neighbours (KNN) Regression</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9A">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sub>
            <m:sup>
              <m:r>
                <w:rPr>
                  <w:rFonts w:hint="default" w:ascii="Cambria Math" w:hAnsi="Cambria Math" w:eastAsia="Cambria Math" w:cs="Cambria Math"/>
                </w:rPr>
                <m:rPr/>
                <m:t/>
              </m:r>
            </m:sup>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, d</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k ∈ {3, 5, 7}, weights ∈ {uniform, distance}. </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C">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Decision Tree Regression (CART)</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9D">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Split</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j,t</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sub>
                  </m:sSub>
                </m:e>
              </m:d>
            </m:num>
            <m:den>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d>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Var</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sub>
                  </m:sSub>
                </m:e>
              </m:d>
            </m:num>
            <m:den>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d>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Var</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, Var</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d>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i∈D</m:t>
              </m:r>
            </m:sub>
            <m:sup>
              <m:r>
                <w:rPr>
                  <w:rFonts w:hint="default" w:ascii="Cambria Math" w:hAnsi="Cambria Math" w:eastAsia="Cambria Math" w:cs="Cambria Math"/>
                </w:rPr>
                <m:rPr/>
                <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max_depth ∈ {5, 10, None}. </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9F">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rPr>
      </w:r>
      <w:bookmarkStart w:id="15" w:name="hv653h1je5pz"/>
      <w:r>
        <w:rPr>
          <w:rFonts w:ascii="Times New Roman" w:hAnsi="Times New Roman" w:eastAsia="Times New Roman" w:cs="Times New Roman"/>
        </w:rPr>
      </w:r>
      <w:bookmarkEnd w:id="15"/>
      <w:r>
        <w:rPr>
          <w:rFonts w:ascii="Times New Roman" w:hAnsi="Times New Roman" w:eastAsia="Times New Roman" w:cs="Times New Roman"/>
          <w:b/>
          <w:bCs/>
          <w:color w:val="000000"/>
          <w:shd w:val="clear" w:color="auto" w:fill="auto"/>
          <w:rtl w:val="0"/>
        </w:rPr>
        <w:t xml:space="preserve">Random Forest Regression</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A0">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m:t>
              </m:r>
            </m:sup>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T</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e>
          </m:nary>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An ensemble of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decision trees on bootstrap samples, using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m≈p/3</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random features at each split. Tuned: n_estimators ∈ {100, 200}, max_depth ∈ {10, None}</w:t>
      </w:r>
      <w:r>
        <w:rPr>
          <w:rFonts w:ascii="Times New Roman" w:hAnsi="Times New Roman" w:eastAsia="Times New Roman" w:cs="Times New Roman"/>
          <w:rtl w:val="0"/>
        </w:rPr>
        <w:t xml:space="preserve">[13].</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A2">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Gradient Boosting Regression</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A3">
      <w:pPr>
        <w:pBdr/>
        <w:shd w:val="clear" w:color="auto" w:fill="auto"/>
        <w:spacing/>
        <w:ind/>
        <w:rPr>
          <w:rFonts w:ascii="Times New Roman" w:hAnsi="Times New Roman" w:cs="Times New Roman"/>
          <w:color w:val="000000"/>
          <w:shd w:val="clear" w:color="auto" w:fill="auto"/>
        </w:rPr>
      </w:pPr>
      <w:r>
        <w:rPr>
          <w:rFonts w:ascii="Times New Roman" w:hAnsi="Times New Roman" w:eastAsia="Times New Roman" w:cs="Times New Roman"/>
          <w:rtl w:val="0"/>
        </w:rPr>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A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d>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den>
                  </m:f>
                </m:e>
              </m:d>
            </m:e>
            <m:sub>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m−1</m:t>
                      </m:r>
                    </m:e>
                  </m:d>
                </m:sup>
              </m:s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e>
              </m:d>
            </m:sup>
          </m:s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m−1</m:t>
                  </m:r>
                </m:e>
              </m:d>
            </m:sup>
          </m:s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+η⋅</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Builds additive ensembles by fitting each new tree to pseudo-residuals. For MSE loss, residuals simplify to </w:t>
      </w: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m−1</m:t>
                </m:r>
              </m:e>
            </m:d>
          </m:sup>
        </m:sSup>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Tuned: n_estimators = 100, η ∈ {0.05, 0.1} </w:t>
      </w:r>
      <w:r>
        <w:rPr>
          <w:rFonts w:ascii="Times New Roman" w:hAnsi="Times New Roman" w:eastAsia="Times New Roman" w:cs="Times New Roman"/>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A6">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rPr>
      </w:r>
      <w:bookmarkStart w:id="16" w:name="ja7fejs6pxo8"/>
      <w:r>
        <w:rPr>
          <w:rFonts w:ascii="Times New Roman" w:hAnsi="Times New Roman" w:eastAsia="Times New Roman" w:cs="Times New Roman"/>
        </w:rPr>
      </w:r>
      <w:bookmarkEnd w:id="16"/>
      <w:r>
        <w:rPr>
          <w:rFonts w:ascii="Times New Roman" w:hAnsi="Times New Roman" w:eastAsia="Times New Roman" w:cs="Times New Roman"/>
          <w:b/>
          <w:bCs/>
          <w:color w:val="000000"/>
          <w:shd w:val="clear" w:color="auto" w:fill="auto"/>
          <w:rtl w:val="0"/>
        </w:rPr>
        <w:t xml:space="preserve">XGBoost (Extreme Gradient Boosting)</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A7">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e>
            <m: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e>
              </m:d>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rPr>
                <m:rPr/>
                <m:t/>
              </m:r>
            </m:sup>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m−1</m:t>
                              </m:r>
                            </m:e>
                          </m:d>
                        </m:sup>
                      </m:sSubSup>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den>
                  </m:f>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+Ω</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ub>
                <m:sup>
                  <m:r>
                    <w:rPr>
                      <w:rFonts w:hint="default" w:ascii="Cambria Math" w:hAnsi="Cambria Math" w:eastAsia="Cambria Math" w:cs="Cambria Math"/>
                    </w:rPr>
                    <m:rPr/>
                    <m:t/>
                  </m:r>
                </m:sup>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nary>
            </m:num>
            <m:den>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ub>
                <m:sup>
                  <m:r>
                    <w:rPr>
                      <w:rFonts w:hint="default" w:ascii="Cambria Math" w:hAnsi="Cambria Math" w:eastAsia="Cambria Math" w:cs="Cambria Math"/>
                    </w:rPr>
                    <m:rPr/>
                    <m:t/>
                  </m:r>
                </m:sup>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+λ</m:t>
                  </m:r>
                </m:e>
              </m:nary>
            </m:den>
          </m:f>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Extends gradient boosting with L1+L2 regularization and second-order Taylor expansion. Tuned: n_estimators ∈ {100, 200}, learning_rate ∈ {0.05, 0.1}.</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A9">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Support Vector Regression (SVR)</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AA">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limLow>
            <m:limLow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rPr>
                <m:rPr/>
                <m:t>min</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w,b,ξ</m:t>
              </m:r>
            </m:lim>
          </m:limLow>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rPr>
                <m:rPr/>
                <m:t/>
              </m:r>
            </m:sup>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ξ</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ξ</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e>
              </m:d>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, K</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=exp</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−γ∥</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C ∈ {1, 10}, kernel = RBF. </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AC">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Hybrid Voting Regressor (RF + XGBoost) ,  Benchmark Ensemble Model</w:t>
      </w:r>
      <w:r>
        <w:rPr>
          <w:rFonts w:ascii="Times New Roman" w:hAnsi="Times New Roman" w:cs="Times New Roman"/>
          <w:b/>
          <w:bCs/>
          <w:color w:val="000000"/>
          <w:shd w:val="clear" w:color="auto" w:fill="auto"/>
        </w:rPr>
      </w:r>
      <w:r>
        <w:rPr>
          <w:rFonts w:ascii="Times New Roman" w:hAnsi="Times New Roman" w:cs="Times New Roman"/>
          <w:b/>
          <w:bCs/>
          <w:color w:val="000000"/>
          <w:shd w:val="clear" w:color="auto" w:fill="auto"/>
        </w:rPr>
      </w:r>
    </w:p>
    <w:p w14:paraId="000000AD">
      <w:pPr>
        <w:pBdr/>
        <w:shd w:val="clear" w:color="auto" w:fill="auto"/>
        <w:spacing/>
        <w:ind/>
        <w:rPr>
          <w:rFonts w:ascii="Times New Roman" w:hAnsi="Times New Roman" w:cs="Times New Roman"/>
          <w:color w:val="000000"/>
          <w:shd w:val="clear" w:color="auto" w:fill="auto"/>
        </w:rPr>
      </w:pPr>
      <w:r>
        <w:rPr>
          <w:rFonts w:ascii="Times New Roman" w:hAnsi="Times New Roman" w:eastAsia="Times New Roman" w:cs="Times New Roman"/>
          <w:rtl w:val="0"/>
        </w:rPr>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A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Hybrid</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XGB</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XGB</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num>
            <m:den>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XGB</m:t>
                  </m:r>
                </m:sub>
              </m:sSub>
            </m:den>
          </m:f>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Weight combinations explored: </w:t>
      </w:r>
      <m:oMath>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XGB</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1,1</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2,1</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1,2</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Best: (1,1).</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0">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7" w:name="gzorlgc3eznc"/>
      <w:r>
        <w:rPr>
          <w:rFonts w:ascii="Times New Roman" w:hAnsi="Times New Roman" w:eastAsia="Times New Roman" w:cs="Times New Roman"/>
        </w:rPr>
      </w:r>
      <w:bookmarkEnd w:id="17"/>
      <w:r>
        <w:rPr>
          <w:rFonts w:ascii="Times New Roman" w:hAnsi="Times New Roman" w:eastAsia="Times New Roman" w:cs="Times New Roman"/>
          <w:color w:val="000000"/>
          <w:shd w:val="clear" w:color="auto" w:fill="auto"/>
          <w:rtl w:val="0"/>
        </w:rPr>
        <w:t xml:space="preserve">2.7.3 Hyperparameter Optimization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B1">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rPr>
                <m:rPr/>
                <m:t>θ</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=arg</m:t>
          </m:r>
          <m:limLow>
            <m:limLow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max</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θ∈Θ</m:t>
              </m:r>
            </m:lim>
          </m:limLow>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val</m:t>
                      </m:r>
                    </m:sub>
                    <m: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d>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θ</m:t>
                      </m:r>
                    </m:sub>
                    <m:sup>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d>
                    </m:sup>
                  </m:sSubSup>
                </m:e>
              </m:d>
            </m:e>
          </m:nary>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 5-fold CV. The Hybrid </w:t>
      </w:r>
      <w:r>
        <w:rPr>
          <w:rFonts w:ascii="Times New Roman" w:hAnsi="Times New Roman" w:eastAsia="Times New Roman" w:cs="Times New Roman"/>
          <w:color w:val="000000"/>
          <w:shd w:val="clear" w:color="auto" w:fill="auto"/>
          <w:rtl w:val="0"/>
        </w:rPr>
        <w:t xml:space="preserve">Voting Regressor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additionally explored all weight combinations between RF and XGBoost components.</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3">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8" w:name="1offeycjewt7"/>
      <w:r>
        <w:rPr>
          <w:rFonts w:ascii="Times New Roman" w:hAnsi="Times New Roman" w:eastAsia="Times New Roman" w:cs="Times New Roman"/>
        </w:rPr>
      </w:r>
      <w:bookmarkEnd w:id="18"/>
      <w:r>
        <w:rPr>
          <w:rFonts w:ascii="Times New Roman" w:hAnsi="Times New Roman" w:eastAsia="Times New Roman" w:cs="Times New Roman"/>
          <w:color w:val="000000"/>
          <w:shd w:val="clear" w:color="auto" w:fill="auto"/>
          <w:rtl w:val="0"/>
        </w:rPr>
        <w:t xml:space="preserve">2.7.4 Performance Evaluation Metrics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Model performance was evaluated using the following metrics </w:t>
      </w:r>
      <w:r>
        <w:rPr>
          <w:rFonts w:ascii="Times New Roman" w:hAnsi="Times New Roman" w:eastAsia="Times New Roman" w:cs="Times New Roman"/>
          <w:color w:val="000000"/>
          <w:shd w:val="clear" w:color="auto" w:fill="auto"/>
          <w:rtl w:val="0"/>
        </w:rPr>
        <w:t xml:space="preserve">(n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number of </w:t>
      </w:r>
      <w:r>
        <w:rPr>
          <w:rFonts w:ascii="Times New Roman" w:hAnsi="Times New Roman" w:eastAsia="Times New Roman" w:cs="Times New Roman"/>
          <w:color w:val="000000"/>
          <w:shd w:val="clear" w:color="auto" w:fill="auto"/>
          <w:rtl w:val="0"/>
        </w:rPr>
        <w:t xml:space="preserve">samples, GYₐ</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 actual </w:t>
      </w:r>
      <w:r>
        <w:rPr>
          <w:rFonts w:ascii="Times New Roman" w:hAnsi="Times New Roman" w:eastAsia="Times New Roman" w:cs="Times New Roman"/>
          <w:color w:val="000000"/>
          <w:shd w:val="clear" w:color="auto" w:fill="auto"/>
          <w:rtl w:val="0"/>
        </w:rPr>
        <w:t xml:space="preserve">GY, GYₚ</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 predicted GY):</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5">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num>
            <m:den>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den>
          </m:f>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RMSE=</m:t>
          </m:r>
          <m:rad>
            <m:radPr>
              <m:degHide m:val="on"/>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7">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MAE=</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e>
          </m:nary>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8">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MAPE=</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num>
                    <m:den>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den>
                  </m:f>
                </m:e>
              </m:d>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×100%</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9">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Gap=</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train</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test</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RelErr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num>
            <m:den>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×100</m:t>
          </m:r>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A">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2.8 Nested Cross-Validation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t xml:space="preserve">A nested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CV (</w:t>
      </w:r>
      <w:r>
        <w:rPr>
          <w:rFonts w:ascii="Times New Roman" w:hAnsi="Times New Roman" w:eastAsia="Times New Roman" w:cs="Times New Roman"/>
          <w:color w:val="000000"/>
          <w:shd w:val="clear" w:color="auto" w:fill="auto"/>
          <w:rtl w:val="0"/>
        </w:rPr>
        <w:t xml:space="preserve">5</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outer folds, 3 inner folds) provides an unbiased generalization estimate: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C">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nested</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out</m:t>
                  </m:r>
                </m:sub>
              </m:sSub>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k=1</m:t>
              </m:r>
            </m:sub>
            <m:sup>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out</m:t>
                  </m:r>
                </m:sub>
              </m:sSub>
            </m:sup>
            <m:e>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nested</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out</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k=1</m:t>
                  </m:r>
                </m:sub>
                <m:sup>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out</m:t>
                      </m:r>
                    </m:sub>
                  </m:sSub>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nested</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BD">
      <w:pPr>
        <w:pStyle w:val="891"/>
        <w:pBdr/>
        <w:shd w:val="clear" w:color="auto" w:fill="auto"/>
        <w:spacing/>
        <w:ind/>
        <w:jc w:val="both"/>
        <w:rPr>
          <w:rFonts w:ascii="Times New Roman" w:hAnsi="Times New Roman" w:cs="Times New Roman"/>
          <w:b w:val="0"/>
          <w:bCs w:val="0"/>
          <w:color w:val="000000"/>
          <w:sz w:val="24"/>
          <w:szCs w:val="24"/>
        </w:rPr>
      </w:pPr>
      <w:r>
        <w:rPr>
          <w:rFonts w:ascii="Times New Roman" w:hAnsi="Times New Roman" w:eastAsia="Times New Roman" w:cs="Times New Roman"/>
          <w:rtl w:val="0"/>
        </w:rPr>
      </w:r>
      <w:r>
        <w:rPr>
          <w:rFonts w:ascii="Times New Roman" w:hAnsi="Times New Roman" w:cs="Times New Roman"/>
          <w:b w:val="0"/>
          <w:bCs w:val="0"/>
          <w:color w:val="000000"/>
          <w:sz w:val="24"/>
          <w:szCs w:val="24"/>
        </w:rPr>
      </w:r>
      <w:r>
        <w:rPr>
          <w:rFonts w:ascii="Times New Roman" w:hAnsi="Times New Roman" w:cs="Times New Roman"/>
          <w:b w:val="0"/>
          <w:bCs w:val="0"/>
          <w:color w:val="000000"/>
          <w:sz w:val="24"/>
          <w:szCs w:val="24"/>
        </w:rPr>
      </w:r>
    </w:p>
    <w:p w14:paraId="000000BE">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9" w:name="g2rd9e9mzh4t"/>
      <w:r>
        <w:rPr>
          <w:rFonts w:ascii="Times New Roman" w:hAnsi="Times New Roman" w:eastAsia="Times New Roman" w:cs="Times New Roman"/>
        </w:rPr>
      </w:r>
      <w:bookmarkEnd w:id="19"/>
      <w:r>
        <w:rPr>
          <w:rFonts w:ascii="Times New Roman" w:hAnsi="Times New Roman" w:eastAsia="Times New Roman" w:cs="Times New Roman"/>
          <w:color w:val="000000"/>
          <w:shd w:val="clear" w:color="auto" w:fill="auto"/>
          <w:rtl w:val="0"/>
        </w:rPr>
        <w:t xml:space="preserve">2.9 SHAP Explainability</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SHAP values were computed using LinearExplainer, which is the methodologically appropriate explainer for linear models such as Ridge Regre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ssion (LinearExplainer exploits the additive structure of linear models to compute exact Shapley values efficiently using the training data as the background reference distribution; TreeExplainer, which applies only to tree-based models, is not applicable </w:t>
      </w:r>
      <w:r>
        <w:rPr>
          <w:rFonts w:ascii="Times New Roman" w:hAnsi="Times New Roman" w:eastAsia="Times New Roman" w:cs="Times New Roman"/>
          <w:rtl w:val="0"/>
        </w:rPr>
        <w:t xml:space="preserve">here) [28] [15], [16].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The Shapley value for </w:t>
      </w:r>
      <w:r>
        <w:rPr>
          <w:rFonts w:ascii="Times New Roman" w:hAnsi="Times New Roman" w:eastAsia="Times New Roman" w:cs="Times New Roman"/>
          <w:color w:val="000000"/>
          <w:shd w:val="clear" w:color="auto" w:fill="auto"/>
          <w:rtl w:val="0"/>
        </w:rPr>
        <w:t xml:space="preserve">a feature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in </w:t>
      </w:r>
      <w:r>
        <w:rPr>
          <w:rFonts w:ascii="Times New Roman" w:hAnsi="Times New Roman" w:eastAsia="Times New Roman" w:cs="Times New Roman"/>
          <w:color w:val="000000"/>
          <w:shd w:val="clear" w:color="auto" w:fill="auto"/>
          <w:rtl w:val="0"/>
        </w:rPr>
        <w:t xml:space="preserve">a sample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across all coalitions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S⊆F\{j}</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0">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rPr>
                <m:rPr/>
                <m:t>ϕ</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S⊆F\{j}</m:t>
              </m:r>
            </m:sub>
            <m:sup>
              <m:r>
                <w:rPr>
                  <w:rFonts w:hint="default" w:ascii="Cambria Math" w:hAnsi="Cambria Math" w:eastAsia="Cambria Math" w:cs="Cambria Math"/>
                </w:rPr>
                <m:rPr/>
                <m:t/>
              </m:r>
            </m:sup>
            <m:e>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um>
                <m:den>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en>
              </m:f>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S∪j</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e>
          </m: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SHAP guarantees exact additive decomposition and global feature importance: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2">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ϕ</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0</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ϕ</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d>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Importance</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den>
          </m:f>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ϕ</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d>
                </m:e>
              </m:d>
            </m:e>
          </m:nary>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3">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0" w:name="w4zdf8uygiuc"/>
      <w:r>
        <w:rPr>
          <w:rFonts w:ascii="Times New Roman" w:hAnsi="Times New Roman" w:eastAsia="Times New Roman" w:cs="Times New Roman"/>
        </w:rPr>
      </w:r>
      <w:bookmarkEnd w:id="20"/>
      <w:r>
        <w:rPr>
          <w:rFonts w:ascii="Times New Roman" w:hAnsi="Times New Roman" w:eastAsia="Times New Roman" w:cs="Times New Roman"/>
          <w:color w:val="000000"/>
          <w:shd w:val="clear" w:color="auto" w:fill="auto"/>
          <w:rtl w:val="0"/>
        </w:rPr>
        <w:t xml:space="preserve">2.10 Genotype Stability Analysis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C4">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1" w:name="v9r4t49ilcay"/>
      <w:r>
        <w:rPr>
          <w:rFonts w:ascii="Times New Roman" w:hAnsi="Times New Roman" w:eastAsia="Times New Roman" w:cs="Times New Roman"/>
        </w:rPr>
      </w:r>
      <w:bookmarkEnd w:id="21"/>
      <w:r>
        <w:rPr>
          <w:rFonts w:ascii="Times New Roman" w:hAnsi="Times New Roman" w:eastAsia="Times New Roman" w:cs="Times New Roman"/>
          <w:color w:val="000000"/>
          <w:shd w:val="clear" w:color="auto" w:fill="auto"/>
          <w:rtl w:val="0"/>
        </w:rPr>
        <w:t xml:space="preserve">2.10.1 AMMI Analysis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G×E interaction matrix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is computed by double-centering:</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b>
          </m:sSub>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Singular Value Decomposition (SVD) of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8">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D=UΣ</m:t>
          </m:r>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sup>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e>
          </m:nary>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IPCA scores for genotypes and environments:</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A">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IPCA1</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IPCA2</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g2</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b>
          </m:sSub>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B">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AMMI Stability Value </w:t>
      </w:r>
      <w:r>
        <w:rPr>
          <w:rFonts w:ascii="Times New Roman" w:hAnsi="Times New Roman" w:eastAsia="Times New Roman" w:cs="Times New Roman"/>
          <w:rtl w:val="0"/>
        </w:rPr>
        <w:t xml:space="preserve">(ASV): 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lower ASV indicates greater cross-environment </w:t>
      </w:r>
      <w:r>
        <w:rPr>
          <w:rFonts w:ascii="Times New Roman" w:hAnsi="Times New Roman" w:eastAsia="Times New Roman" w:cs="Times New Roman"/>
          <w:rtl w:val="0"/>
        </w:rPr>
        <w:t xml:space="preserve">stability [17], [4].</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CD">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ASV</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IPCA1</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IPCA2</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rad>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D0">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2" w:name="bgosaf7wi27o"/>
      <w:r>
        <w:rPr>
          <w:rFonts w:ascii="Times New Roman" w:hAnsi="Times New Roman" w:eastAsia="Times New Roman" w:cs="Times New Roman"/>
        </w:rPr>
      </w:r>
      <w:bookmarkEnd w:id="22"/>
      <w:r>
        <w:rPr>
          <w:rFonts w:ascii="Times New Roman" w:hAnsi="Times New Roman" w:eastAsia="Times New Roman" w:cs="Times New Roman"/>
          <w:color w:val="000000"/>
          <w:shd w:val="clear" w:color="auto" w:fill="auto"/>
          <w:rtl w:val="0"/>
        </w:rPr>
        <w:t xml:space="preserve">2.10.2 GGE Biplot Analysis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The GGE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biplot uses </w:t>
      </w:r>
      <w:r>
        <w:rPr>
          <w:rFonts w:ascii="Times New Roman" w:hAnsi="Times New Roman" w:eastAsia="Times New Roman" w:cs="Times New Roman"/>
          <w:color w:val="000000"/>
          <w:shd w:val="clear" w:color="auto" w:fill="auto"/>
          <w:rtl w:val="0"/>
        </w:rPr>
        <w:t xml:space="preserve">environment-centered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data </w:t>
      </w:r>
      <w:r>
        <w:rPr>
          <w:rFonts w:ascii="Times New Roman" w:hAnsi="Times New Roman" w:eastAsia="Times New Roman" w:cs="Times New Roman"/>
          <w:rtl w:val="0"/>
        </w:rPr>
        <w:t xml:space="preserve">[18], [5] (removing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color w:val="000000"/>
          <w:shd w:val="clear" w:color="auto" w:fill="auto"/>
          <w:rtl w:val="0"/>
        </w:rPr>
        <w:t xml:space="preserve">the environmental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main effect). GGE decomposition and biplot scores:</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D2">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, G=</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GGE</m:t>
              </m:r>
            </m:sub>
          </m:sSub>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GGE</m:t>
              </m:r>
            </m:sub>
          </m:sSub>
          <m:sSubSup>
            <m:sSubSupPr>
              <m:alnScr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GGE</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D3">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3" w:name="ikf20cbdrzrt"/>
      <w:r>
        <w:rPr>
          <w:rFonts w:ascii="Times New Roman" w:hAnsi="Times New Roman" w:eastAsia="Times New Roman" w:cs="Times New Roman"/>
        </w:rPr>
      </w:r>
      <w:bookmarkEnd w:id="23"/>
      <w:r>
        <w:rPr>
          <w:rFonts w:ascii="Times New Roman" w:hAnsi="Times New Roman" w:eastAsia="Times New Roman" w:cs="Times New Roman"/>
          <w:color w:val="000000"/>
          <w:shd w:val="clear" w:color="auto" w:fill="auto"/>
          <w:rtl w:val="0"/>
        </w:rPr>
        <w:t xml:space="preserve">2.10.3 Integrated Genotype Ranking</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D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OverallRank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YieldRank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StabilityRank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den>
          </m:f>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D5">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4" w:name="d4lw7ygpt79p"/>
      <w:r>
        <w:rPr>
          <w:rFonts w:ascii="Times New Roman" w:hAnsi="Times New Roman" w:eastAsia="Times New Roman" w:cs="Times New Roman"/>
        </w:rPr>
      </w:r>
      <w:bookmarkEnd w:id="24"/>
      <w:r>
        <w:rPr>
          <w:rFonts w:ascii="Times New Roman" w:hAnsi="Times New Roman" w:eastAsia="Times New Roman" w:cs="Times New Roman"/>
          <w:color w:val="000000"/>
          <w:shd w:val="clear" w:color="auto" w:fill="auto"/>
          <w:rtl w:val="0"/>
        </w:rPr>
        <w:t xml:space="preserve">2.11 Pearson Correlation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D6">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Correlation uses the following equation:</w:t>
      </w:r>
      <w:r>
        <w:rPr>
          <w:rFonts w:ascii="Times New Roman" w:hAnsi="Times New Roman" w:cs="Times New Roman"/>
        </w:rPr>
      </w:r>
      <w:r>
        <w:rPr>
          <w:rFonts w:ascii="Times New Roman" w:hAnsi="Times New Roman" w:cs="Times New Roman"/>
        </w:rPr>
      </w:r>
    </w:p>
    <w:p w14:paraId="000000D7">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br/>
      </w:r>
      <m:oMathPara>
        <m:oMathParaPr/>
        <m:oMath>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xy</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d>
                </m:e>
              </m:nary>
            </m:num>
            <m:den>
              <m:rad>
                <m:radPr>
                  <m:degHide m:val="on"/>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nary>
                    <m:naryPr>
                      <m:chr m:val="∑"/>
                      <m:grow m:val="off"/>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den>
          </m:f>
        </m:oMath>
      </m:oMathPara>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D8">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4111964" cy="359038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2"/>
                        <a:srcRect l="0" t="0" r="0" b="0"/>
                        <a:stretch/>
                      </pic:blipFill>
                      <pic:spPr bwMode="auto">
                        <a:xfrm>
                          <a:off x="0" y="0"/>
                          <a:ext cx="4111964" cy="359038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3.78pt;height:282.71pt;mso-wrap-distance-left:0.00pt;mso-wrap-distance-top:0.00pt;mso-wrap-distance-right:0.00pt;mso-wrap-distance-bottom:0.00pt;z-index:1;">
                <v:imagedata r:id="rId12"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4:</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Pearson correlation heatmap</w:t>
      </w:r>
      <w:r>
        <w:rPr>
          <w:rFonts w:ascii="Times New Roman" w:hAnsi="Times New Roman" w:eastAsia="Times New Roman" w:cs="Times New Roman"/>
          <w:i/>
          <w:iCs/>
          <w:color w:val="000000"/>
          <w:shd w:val="clear" w:color="auto" w:fill="auto"/>
          <w:rtl w:val="0"/>
        </w:rPr>
        <w:t xml:space="preserve">,</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including all raw and engineered numerical features with GY.</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DA">
      <w:pPr>
        <w:pStyle w:val="890"/>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 Results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DB">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3.1 Data Quality and Exploratory Analysis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DC">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After removal of the odd data points by the IQR method, 150 samples</w:t>
      </w:r>
      <w:r>
        <w:rPr>
          <w:rFonts w:ascii="Times New Roman" w:hAnsi="Times New Roman" w:eastAsia="Times New Roman" w:cs="Times New Roman"/>
          <w:rtl w:val="0"/>
        </w:rPr>
        <w:t xml:space="preserve"> remained, spread over five sites and ten genetic types. The highest output was at Shyampur (L2) with an average of 1705.49 kg per hectare, but figures were quite variable; the standard deviation was 325.87. Down near the bottom was Nachole (L3), pulling o</w:t>
      </w:r>
      <w:r>
        <w:rPr>
          <w:rFonts w:ascii="Times New Roman" w:hAnsi="Times New Roman" w:eastAsia="Times New Roman" w:cs="Times New Roman"/>
          <w:rtl w:val="0"/>
        </w:rPr>
        <w:t xml:space="preserve">nly 1127.51 kg/ha. Most growth-related features plotted as histograms showed more or less bell-shaped patterns. What really moved the needle on yield wasn't just grain? Biological mass was noisy and correlated at r = 0.75, and harvest index was even noisie</w:t>
      </w:r>
      <w:r>
        <w:rPr>
          <w:rFonts w:ascii="Times New Roman" w:hAnsi="Times New Roman" w:eastAsia="Times New Roman" w:cs="Times New Roman"/>
          <w:rtl w:val="0"/>
        </w:rPr>
        <w:t xml:space="preserve">r at r = 0.76. When mapped visually using UMAP and t-SNE, the groups are neatly sorted by location, loudly claiming that location matters. In 3D views, the best performers remained together as if they belonged, forming dense patches separate from the rest.</w:t>
      </w:r>
      <w:r>
        <w:rPr>
          <w:rFonts w:ascii="Times New Roman" w:hAnsi="Times New Roman" w:cs="Times New Roman"/>
        </w:rPr>
      </w:r>
      <w:r>
        <w:rPr>
          <w:rFonts w:ascii="Times New Roman" w:hAnsi="Times New Roman" w:cs="Times New Roman"/>
        </w:rPr>
      </w:r>
    </w:p>
    <w:p w14:paraId="000000DD">
      <w:pPr>
        <w:pBdr/>
        <w:shd w:val="clear" w:color="auto" w:fill="auto"/>
        <w:spacing/>
        <w:ind/>
        <w:rPr>
          <w:rFonts w:ascii="Times New Roman" w:hAnsi="Times New Roman" w:eastAsia="Times New Roman" w:cs="Times New Roman"/>
          <w:b/>
          <w:bCs/>
          <w:sz w:val="28"/>
          <w:szCs w:val="28"/>
          <w:highlight w:val="none"/>
          <w:shd w:val="clear" w:color="auto" w:fill="auto"/>
        </w:rPr>
      </w:pPr>
      <w:r>
        <w:rPr>
          <w:rFonts w:ascii="Times New Roman" w:hAnsi="Times New Roman" w:eastAsia="Times New Roman" w:cs="Times New Roman"/>
          <w:b/>
          <w:bCs/>
          <w:sz w:val="28"/>
          <w:szCs w:val="28"/>
          <w:shd w:val="clear" w:color="auto" w:fill="auto"/>
          <w:rtl w:val="0"/>
        </w:rPr>
        <w:t xml:space="preserve">3.2 Manifold Learning for High-Dimensional Trait Space Visualization</w:t>
      </w:r>
      <w:r>
        <w:rPr>
          <w:rFonts w:ascii="Times New Roman" w:hAnsi="Times New Roman" w:eastAsia="Times New Roman" w:cs="Times New Roman"/>
          <w:b/>
          <w:bCs/>
          <w:sz w:val="28"/>
          <w:szCs w:val="28"/>
          <w:highlight w:val="none"/>
          <w:shd w:val="clear" w:color="auto" w:fill="auto"/>
        </w:rPr>
      </w:r>
      <w:r>
        <w:rPr>
          <w:rFonts w:ascii="Times New Roman" w:hAnsi="Times New Roman" w:eastAsia="Times New Roman" w:cs="Times New Roman"/>
          <w:b/>
          <w:bCs/>
          <w:sz w:val="28"/>
          <w:szCs w:val="28"/>
          <w:highlight w:val="none"/>
          <w:shd w:val="clear" w:color="auto" w:fill="auto"/>
        </w:rPr>
      </w:r>
    </w:p>
    <w:p w14:paraId="000000DE">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We interrogated the underlying structure of the 31-dimensional feature space, which included raw agromorphological traits, engineered interact</w:t>
      </w:r>
      <w:r>
        <w:rPr>
          <w:rFonts w:ascii="Times New Roman" w:hAnsi="Times New Roman" w:eastAsia="Times New Roman" w:cs="Times New Roman"/>
          <w:rtl w:val="0"/>
        </w:rPr>
        <w:t xml:space="preserve">ion terms, and one-hot encoded genotype/location variables, using Uniform Manifold Approximation and Projection (UMAP) and t-Distributed Stochastic Neighbor Embedding (t-SNE) [19], [20]. Both algorithms projected the high-dimensional data into a 3D coordin</w:t>
      </w:r>
      <w:r>
        <w:rPr>
          <w:rFonts w:ascii="Times New Roman" w:hAnsi="Times New Roman" w:eastAsia="Times New Roman" w:cs="Times New Roman"/>
          <w:rtl w:val="0"/>
        </w:rPr>
        <w:t xml:space="preserve">ate system with points colored by grain yield and location identity (L1-L5). Both methods reduce dimensionality but optimize different topological properties. UMAP preserves global manifold structure while t-SNE emphasizes local neighbourhood relationships</w:t>
      </w:r>
      <w:r>
        <w:rPr>
          <w:rFonts w:ascii="Times New Roman" w:hAnsi="Times New Roman" w:cs="Times New Roman"/>
        </w:rPr>
      </w:r>
      <w:r>
        <w:rPr>
          <w:rFonts w:ascii="Times New Roman" w:hAnsi="Times New Roman" w:cs="Times New Roman"/>
        </w:rPr>
      </w:r>
    </w:p>
    <w:p w14:paraId="000000DF">
      <w:pPr>
        <w:pBdr/>
        <w:shd w:val="clear" w:color="auto" w:fill="auto"/>
        <w:spacing/>
        <w:ind/>
        <w:rPr>
          <w:rFonts w:ascii="Times New Roman" w:hAnsi="Times New Roman" w:cs="Times New Roman"/>
          <w:b/>
          <w:bCs/>
          <w:sz w:val="28"/>
          <w:szCs w:val="28"/>
          <w:shd w:val="clear" w:color="auto" w:fill="auto"/>
        </w:rPr>
      </w:pPr>
      <w:r>
        <w:rPr>
          <w:rFonts w:ascii="Times New Roman" w:hAnsi="Times New Roman" w:eastAsia="Times New Roman" w:cs="Times New Roman"/>
          <w:b/>
          <w:bCs/>
          <w:sz w:val="28"/>
          <w:szCs w:val="28"/>
          <w:shd w:val="clear" w:color="auto" w:fill="auto"/>
          <w:rtl w:val="0"/>
        </w:rPr>
        <w:t xml:space="preserve">3.2.1 UMAP Embeddings: Preservation of Global Structure</w:t>
      </w:r>
      <w:r>
        <w:rPr>
          <w:rFonts w:ascii="Times New Roman" w:hAnsi="Times New Roman" w:cs="Times New Roman"/>
          <w:b/>
          <w:bCs/>
          <w:sz w:val="28"/>
          <w:szCs w:val="28"/>
          <w:shd w:val="clear" w:color="auto" w:fill="auto"/>
        </w:rPr>
      </w:r>
      <w:r>
        <w:rPr>
          <w:rFonts w:ascii="Times New Roman" w:hAnsi="Times New Roman" w:cs="Times New Roman"/>
          <w:b/>
          <w:bCs/>
          <w:sz w:val="28"/>
          <w:szCs w:val="28"/>
          <w:shd w:val="clear" w:color="auto" w:fill="auto"/>
        </w:rPr>
      </w:r>
    </w:p>
    <w:p w14:paraId="000000E0">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The 3D UMAP projection separates the data points well according to location (Figure 6). Each environment (L1–L5) is a distinct non-overlapping cluster, which shows that main effects of environment dominate the global covariance structure of t</w:t>
      </w:r>
      <w:r>
        <w:rPr>
          <w:rFonts w:ascii="Times New Roman" w:hAnsi="Times New Roman" w:eastAsia="Times New Roman" w:cs="Times New Roman"/>
          <w:rtl w:val="0"/>
        </w:rPr>
        <w:t xml:space="preserve">he trait space. This is a strong indication that the differences in soil, microclimate, and management practices across the Rajshahi region impose consistent phenotypic constraints and shape plant architecture and development more than the genotype per se.</w:t>
      </w:r>
      <w:r>
        <w:rPr>
          <w:rFonts w:ascii="Times New Roman" w:hAnsi="Times New Roman" w:cs="Times New Roman"/>
          <w:shd w:val="clear" w:color="auto" w:fill="auto"/>
        </w:rPr>
      </w:r>
      <w:r>
        <w:rPr>
          <w:rFonts w:ascii="Times New Roman" w:hAnsi="Times New Roman" w:cs="Times New Roman"/>
          <w:shd w:val="clear" w:color="auto" w:fill="auto"/>
        </w:rPr>
      </w:r>
    </w:p>
    <w:p w14:paraId="000000E1">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The embedding exhibi</w:t>
      </w:r>
      <w:r>
        <w:rPr>
          <w:rFonts w:ascii="Times New Roman" w:hAnsi="Times New Roman" w:eastAsia="Times New Roman" w:cs="Times New Roman"/>
          <w:rtl w:val="0"/>
        </w:rPr>
        <w:t xml:space="preserve">ts clear stratification by grain yield (Figure 5). The high-yielding observations (&gt;1600 kg/ha) are tightly grouped and characterized by the warmer color tones (yellow/green). The low-yielding cases (&lt;1200 kg/ha) are located in the peripheral areas and are</w:t>
      </w:r>
      <w:r>
        <w:rPr>
          <w:rFonts w:ascii="Times New Roman" w:hAnsi="Times New Roman" w:eastAsia="Times New Roman" w:cs="Times New Roman"/>
          <w:rtl w:val="0"/>
        </w:rPr>
        <w:t xml:space="preserve"> indicated by the cooler tones (purple/blue). The yield-driven clustering shows that the engineered feature space is able to effectively capture the physiological gradients associated with productivity, providing a structured basis for supervised learning.</w:t>
      </w:r>
      <w:r>
        <w:rPr>
          <w:rFonts w:ascii="Times New Roman" w:hAnsi="Times New Roman" w:cs="Times New Roman"/>
          <w:shd w:val="clear" w:color="auto" w:fill="auto"/>
        </w:rPr>
      </w:r>
      <w:r>
        <w:rPr>
          <w:rFonts w:ascii="Times New Roman" w:hAnsi="Times New Roman" w:cs="Times New Roman"/>
          <w:shd w:val="clear" w:color="auto" w:fill="auto"/>
        </w:rPr>
      </w:r>
    </w:p>
    <w:p w14:paraId="000000E2">
      <w:pPr>
        <w:pBdr/>
        <w:shd w:val="clear" w:color="auto" w:fill="auto"/>
        <w:spacing/>
        <w:ind/>
        <w:rPr>
          <w:rFonts w:ascii="Times New Roman" w:hAnsi="Times New Roman" w:cs="Times New Roman"/>
          <w:b/>
          <w:bCs/>
          <w:sz w:val="28"/>
          <w:szCs w:val="28"/>
          <w:shd w:val="clear" w:color="auto" w:fill="auto"/>
        </w:rPr>
      </w:pPr>
      <w:r>
        <w:rPr>
          <w:rFonts w:ascii="Times New Roman" w:hAnsi="Times New Roman" w:eastAsia="Times New Roman" w:cs="Times New Roman"/>
          <w:b/>
          <w:bCs/>
          <w:sz w:val="28"/>
          <w:szCs w:val="28"/>
          <w:shd w:val="clear" w:color="auto" w:fill="auto"/>
          <w:rtl w:val="0"/>
        </w:rPr>
        <w:t xml:space="preserve">3.2.2 t-SNE Embeddings: Local Neighborhood Refinement</w:t>
      </w:r>
      <w:r>
        <w:rPr>
          <w:rFonts w:ascii="Times New Roman" w:hAnsi="Times New Roman" w:cs="Times New Roman"/>
          <w:b/>
          <w:bCs/>
          <w:sz w:val="28"/>
          <w:szCs w:val="28"/>
          <w:shd w:val="clear" w:color="auto" w:fill="auto"/>
        </w:rPr>
      </w:r>
      <w:r>
        <w:rPr>
          <w:rFonts w:ascii="Times New Roman" w:hAnsi="Times New Roman" w:cs="Times New Roman"/>
          <w:b/>
          <w:bCs/>
          <w:sz w:val="28"/>
          <w:szCs w:val="28"/>
          <w:shd w:val="clear" w:color="auto" w:fill="auto"/>
        </w:rPr>
      </w:r>
    </w:p>
    <w:p w14:paraId="000000E3">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Figures 7 and 8 demonstrate a softer boundary and more inter-location mixing in the 3D t-SNE projection, compare</w:t>
      </w:r>
      <w:r>
        <w:rPr>
          <w:rFonts w:ascii="Times New Roman" w:hAnsi="Times New Roman" w:eastAsia="Times New Roman" w:cs="Times New Roman"/>
          <w:rtl w:val="0"/>
        </w:rPr>
        <w:t xml:space="preserve">d to UMAP. t-SNE does not reveal strict environmental segregation but rather compact local neighborhoods where data points from different locations co-localize. L2 (Shyampur) and L5 (Lalpur) are highly overlapping, as are L1 (Bashontopur) and L4 (Sapaher).</w:t>
      </w:r>
      <w:r>
        <w:rPr>
          <w:rFonts w:ascii="Times New Roman" w:hAnsi="Times New Roman" w:cs="Times New Roman"/>
          <w:shd w:val="clear" w:color="auto" w:fill="auto"/>
        </w:rPr>
      </w:r>
      <w:r>
        <w:rPr>
          <w:rFonts w:ascii="Times New Roman" w:hAnsi="Times New Roman" w:cs="Times New Roman"/>
          <w:shd w:val="clear" w:color="auto" w:fill="auto"/>
        </w:rPr>
      </w:r>
    </w:p>
    <w:p w14:paraId="000000E4">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This blending is not noise. It is a signature of genotypic plasticity and cross-environment adaptability. Genotypes G63, G49, and G71 have overlapping regions in multiple locations, indicating that their underlying trait profiles are consis</w:t>
      </w:r>
      <w:r>
        <w:rPr>
          <w:rFonts w:ascii="Times New Roman" w:hAnsi="Times New Roman" w:eastAsia="Times New Roman" w:cs="Times New Roman"/>
          <w:rtl w:val="0"/>
        </w:rPr>
        <w:t xml:space="preserve">tent under environmental changes. However, t-SNE is more sensitive to local similarity and so reveals stable phenotypic signatures smoothed over by UMAP’s global focus, highlighting genotypes that can maintain performance across divergent field conditions.</w:t>
      </w:r>
      <w:r>
        <w:rPr>
          <w:rFonts w:ascii="Times New Roman" w:hAnsi="Times New Roman" w:cs="Times New Roman"/>
          <w:shd w:val="clear" w:color="auto" w:fill="auto"/>
        </w:rPr>
      </w:r>
      <w:r>
        <w:rPr>
          <w:rFonts w:ascii="Times New Roman" w:hAnsi="Times New Roman" w:cs="Times New Roman"/>
          <w:shd w:val="clear" w:color="auto" w:fill="auto"/>
        </w:rPr>
      </w:r>
    </w:p>
    <w:p w14:paraId="000000E5">
      <w:pPr>
        <w:pBdr/>
        <w:shd w:val="clear" w:color="auto" w:fill="auto"/>
        <w:spacing/>
        <w:ind/>
        <w:rPr>
          <w:rFonts w:ascii="Times New Roman" w:hAnsi="Times New Roman" w:cs="Times New Roman"/>
          <w:b/>
          <w:bCs/>
          <w:sz w:val="28"/>
          <w:szCs w:val="28"/>
          <w:shd w:val="clear" w:color="auto" w:fill="auto"/>
        </w:rPr>
      </w:pPr>
      <w:r>
        <w:rPr>
          <w:rFonts w:ascii="Times New Roman" w:hAnsi="Times New Roman" w:eastAsia="Times New Roman" w:cs="Times New Roman"/>
          <w:b/>
          <w:bCs/>
          <w:sz w:val="28"/>
          <w:szCs w:val="28"/>
          <w:shd w:val="clear" w:color="auto" w:fill="auto"/>
          <w:rtl w:val="0"/>
        </w:rPr>
        <w:t xml:space="preserve">3.2.3 Comparison and Interpretation</w:t>
      </w:r>
      <w:r>
        <w:rPr>
          <w:rFonts w:ascii="Times New Roman" w:hAnsi="Times New Roman" w:cs="Times New Roman"/>
          <w:b/>
          <w:bCs/>
          <w:sz w:val="28"/>
          <w:szCs w:val="28"/>
          <w:shd w:val="clear" w:color="auto" w:fill="auto"/>
        </w:rPr>
      </w:r>
      <w:r>
        <w:rPr>
          <w:rFonts w:ascii="Times New Roman" w:hAnsi="Times New Roman" w:cs="Times New Roman"/>
          <w:b/>
          <w:bCs/>
          <w:sz w:val="28"/>
          <w:szCs w:val="28"/>
          <w:shd w:val="clear" w:color="auto" w:fill="auto"/>
        </w:rPr>
      </w:r>
    </w:p>
    <w:p w14:paraId="000000E6">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The difference</w:t>
      </w:r>
      <w:r>
        <w:rPr>
          <w:rFonts w:ascii="Times New Roman" w:hAnsi="Times New Roman" w:eastAsia="Times New Roman" w:cs="Times New Roman"/>
          <w:rtl w:val="0"/>
        </w:rPr>
        <w:t xml:space="preserve"> between UMAP and t-SNE comes from their optimization objective. UMAP minimizes cross-entropy in a fuzzy topological setting, preserving large-scale distances and suggesting environmental variance as the major driver of trait covariance. The t-SNE algorith</w:t>
      </w:r>
      <w:r>
        <w:rPr>
          <w:rFonts w:ascii="Times New Roman" w:hAnsi="Times New Roman" w:eastAsia="Times New Roman" w:cs="Times New Roman"/>
          <w:rtl w:val="0"/>
        </w:rPr>
        <w:t xml:space="preserve">m minimizes the Kullback-Leibler divergence between a high-dimensional and a low-dimensional probability distribution and thus emphasizes local fidelity. The genotype-driven overlaps are revealed. From these projections, two key agronomic insights emerge: </w:t>
      </w:r>
      <w:r>
        <w:rPr>
          <w:rFonts w:ascii="Times New Roman" w:hAnsi="Times New Roman" w:eastAsia="Times New Roman" w:cs="Times New Roman"/>
          <w:shd w:val="clear" w:color="auto" w:fill="auto"/>
          <w:rtl w:val="0"/>
        </w:rPr>
        <w:t xml:space="preserve">Environmental Stratification: Th</w:t>
      </w:r>
      <w:r>
        <w:rPr>
          <w:rFonts w:ascii="Times New Roman" w:hAnsi="Times New Roman" w:eastAsia="Times New Roman" w:cs="Times New Roman"/>
          <w:shd w:val="clear" w:color="auto" w:fill="auto"/>
          <w:rtl w:val="0"/>
        </w:rPr>
        <w:t xml:space="preserve">e rigid clustering in UMAP justifies location-specific management and breeding strategies. Environments like L3 (Nachole) occupy isolated regions of the manifold, confirming their status as high-stress, low-yielding zones that require specifically adapted </w:t>
      </w:r>
      <w:r>
        <w:rPr>
          <w:rFonts w:ascii="Times New Roman" w:hAnsi="Times New Roman" w:eastAsia="Times New Roman" w:cs="Times New Roman"/>
          <w:rtl w:val="0"/>
        </w:rPr>
        <w:t xml:space="preserve">genotypes. Genotype Stability Signatures Visual Prediction of AMMI/GGE-Based Stability Rankings by Local Overlaps in t-SNE: Genotypes that cluster in multiple locations in t-SNE (e.g., G71, G63) are those with low AMMI Stability Values (</w:t>
      </w:r>
      <w:r>
        <w:rPr>
          <w:rFonts w:ascii="Times New Roman" w:hAnsi="Times New Roman" w:eastAsia="Times New Roman" w:cs="Times New Roman"/>
          <w:rtl w:val="0"/>
        </w:rPr>
        <w:t xml:space="preserve">ASV), confirming the correlation between manifold proximity and cross-environment reliability. Together, these embeddings give a multi-scale view of the trial data, where UMAP maps the environmental landscape and t-SNE maps the genetic pathways through it.</w:t>
      </w:r>
      <w:r>
        <w:rPr>
          <w:rFonts w:ascii="Times New Roman" w:hAnsi="Times New Roman" w:cs="Times New Roman"/>
          <w:shd w:val="clear" w:color="auto" w:fill="auto"/>
        </w:rPr>
      </w:r>
      <w:r>
        <w:rPr>
          <w:rFonts w:ascii="Times New Roman" w:hAnsi="Times New Roman" w:cs="Times New Roman"/>
          <w:shd w:val="clear" w:color="auto" w:fill="auto"/>
        </w:rPr>
      </w:r>
    </w:p>
    <w:p w14:paraId="000000E7">
      <w:pPr>
        <w:pBdr/>
        <w:shd w:val="clear" w:color="auto" w:fill="auto"/>
        <w:spacing/>
        <w:ind/>
        <w:rPr>
          <w:rFonts w:ascii="Times New Roman" w:hAnsi="Times New Roman" w:cs="Times New Roman"/>
          <w:b/>
          <w:bCs/>
          <w:sz w:val="28"/>
          <w:szCs w:val="28"/>
          <w:shd w:val="clear" w:color="auto" w:fill="auto"/>
        </w:rPr>
      </w:pPr>
      <w:r>
        <w:rPr>
          <w:rFonts w:ascii="Times New Roman" w:hAnsi="Times New Roman" w:eastAsia="Times New Roman" w:cs="Times New Roman"/>
          <w:b/>
          <w:bCs/>
          <w:sz w:val="28"/>
          <w:szCs w:val="28"/>
          <w:shd w:val="clear" w:color="auto" w:fill="auto"/>
          <w:rtl w:val="0"/>
        </w:rPr>
        <w:t xml:space="preserve">3.3 Quantitative Validation of Visual Patterns</w:t>
      </w:r>
      <w:r>
        <w:rPr>
          <w:rFonts w:ascii="Times New Roman" w:hAnsi="Times New Roman" w:cs="Times New Roman"/>
          <w:b/>
          <w:bCs/>
          <w:sz w:val="28"/>
          <w:szCs w:val="28"/>
          <w:shd w:val="clear" w:color="auto" w:fill="auto"/>
        </w:rPr>
      </w:r>
      <w:r>
        <w:rPr>
          <w:rFonts w:ascii="Times New Roman" w:hAnsi="Times New Roman" w:cs="Times New Roman"/>
          <w:b/>
          <w:bCs/>
          <w:sz w:val="28"/>
          <w:szCs w:val="28"/>
          <w:shd w:val="clear" w:color="auto" w:fill="auto"/>
        </w:rPr>
      </w:r>
    </w:p>
    <w:p w14:paraId="000000E8">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The qualitative patterns seen in the manifold projections are strongly supported by quantitative yield metrics. The mean grain yield of the dense high-yield UM</w:t>
      </w:r>
      <w:r>
        <w:rPr>
          <w:rFonts w:ascii="Times New Roman" w:hAnsi="Times New Roman" w:eastAsia="Times New Roman" w:cs="Times New Roman"/>
          <w:rtl w:val="0"/>
        </w:rPr>
        <w:t xml:space="preserve">AP cluster is 1721 kg/ha (±296 kg/ha), which is significantly higher than the mean of the peripheral points (1134 kg/ha; p &lt; 0.001). The statistical separation of the two means that the spatial cohesion in the embedding is a reflection of real biological p</w:t>
      </w:r>
      <w:r>
        <w:rPr>
          <w:rFonts w:ascii="Times New Roman" w:hAnsi="Times New Roman" w:eastAsia="Times New Roman" w:cs="Times New Roman"/>
          <w:rtl w:val="0"/>
        </w:rPr>
        <w:t xml:space="preserve">roductivity gradients and not artifacts of the algorithm. The t-SNE overlap of Shyampur (L2) and Lalpur (L5) is in agreement with the mega-environment structure as observed in the GGE biplot (Figure 16). Genotypes in this overlapping t-SNE region, notably </w:t>
      </w:r>
      <w:r>
        <w:rPr>
          <w:rFonts w:ascii="Times New Roman" w:hAnsi="Times New Roman" w:eastAsia="Times New Roman" w:cs="Times New Roman"/>
          <w:rtl w:val="0"/>
        </w:rPr>
        <w:t xml:space="preserve">G49 and G63, have high mean yields across both locations (G49: 1928 kg/ha in L5; 1832 kg/ha in L4; G63: 2113 kg/ha in L2). In contrast, Nachole (L3) is clearly separated in both embeddings, consistent with its lowest mean yield (1168.89 kg/ha) and the high</w:t>
      </w:r>
      <w:r>
        <w:rPr>
          <w:rFonts w:ascii="Times New Roman" w:hAnsi="Times New Roman" w:eastAsia="Times New Roman" w:cs="Times New Roman"/>
          <w:rtl w:val="0"/>
        </w:rPr>
        <w:t xml:space="preserve">est variance in genotype-by-environment interaction. These many visualizations are not only descriptive; they validate the biological coherence of the feature engineering pipeline. The robust predictive performance of the Ridge regression model (R</w:t>
      </w:r>
      <w:r>
        <w:rPr>
          <w:rFonts w:ascii="Times New Roman" w:hAnsi="Times New Roman" w:eastAsia="Times New Roman" w:cs="Times New Roman"/>
          <w:vertAlign w:val="superscript"/>
          <w:rtl w:val="0"/>
          <w:lang w:val="en-US"/>
        </w:rPr>
        <w:t xml:space="preserve">2</w:t>
      </w:r>
      <w:r>
        <w:rPr>
          <w:rFonts w:ascii="Times New Roman" w:hAnsi="Times New Roman" w:eastAsia="Times New Roman" w:cs="Times New Roman"/>
          <w:rtl w:val="0"/>
        </w:rPr>
        <w:t xml:space="preserve"> = 0.8072</w:t>
      </w:r>
      <w:r>
        <w:rPr>
          <w:rFonts w:ascii="Times New Roman" w:hAnsi="Times New Roman" w:eastAsia="Times New Roman" w:cs="Times New Roman"/>
          <w:rtl w:val="0"/>
        </w:rPr>
        <w:t xml:space="preserve">, RMSE = 183.77 kg/ha) is directly attributable to the obvious yield stratification and location-genotype topologies. The data underlying these signals is not random noise but rather structured, learnable manifolds. As such, regularized linear modeling can</w:t>
      </w:r>
      <w:r>
        <w:rPr>
          <w:rFonts w:ascii="Times New Roman" w:hAnsi="Times New Roman" w:eastAsia="Times New Roman" w:cs="Times New Roman"/>
          <w:rtl w:val="0"/>
        </w:rPr>
        <w:t xml:space="preserve"> efficiently capture the dominant phenotypic gradients without resorting to high-variance ensemble methods. The embeddings thus act as an important bridge between exploratory data analysis, model interpretability (SHAP), and classical stability assessment.</w:t>
      </w:r>
      <w:r>
        <w:rPr>
          <w:rFonts w:ascii="Times New Roman" w:hAnsi="Times New Roman" w:cs="Times New Roman"/>
          <w:shd w:val="clear" w:color="auto" w:fill="auto"/>
        </w:rPr>
      </w:r>
      <w:r>
        <w:rPr>
          <w:rFonts w:ascii="Times New Roman" w:hAnsi="Times New Roman" w:cs="Times New Roman"/>
          <w:shd w:val="clear" w:color="auto" w:fill="auto"/>
        </w:rPr>
      </w:r>
    </w:p>
    <w:p w14:paraId="000000E9">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2461808" cy="218068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3"/>
                        <a:srcRect l="0" t="0" r="0" b="0"/>
                        <a:stretch/>
                      </pic:blipFill>
                      <pic:spPr bwMode="auto">
                        <a:xfrm>
                          <a:off x="0" y="0"/>
                          <a:ext cx="2461808" cy="218068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93.84pt;height:171.71pt;mso-wrap-distance-left:0.00pt;mso-wrap-distance-top:0.00pt;mso-wrap-distance-right:0.00pt;mso-wrap-distance-bottom:0.00pt;z-index:1;">
                <v:imagedata r:id="rId13"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5:</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UMAP 3D embedding </w:t>
      </w:r>
      <w:r>
        <w:rPr>
          <w:rFonts w:ascii="Times New Roman" w:hAnsi="Times New Roman" w:eastAsia="Times New Roman" w:cs="Times New Roman"/>
          <w:i/>
          <w:iCs/>
          <w:color w:val="000000"/>
          <w:shd w:val="clear" w:color="auto" w:fill="auto"/>
          <w:rtl w:val="0"/>
        </w:rPr>
        <w:t xml:space="preserve">colored</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by grain yield. High-yield observations form spatially coherent clusters.</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EB">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2622078" cy="2234294"/>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14"/>
                        <a:srcRect l="0" t="0" r="0" b="0"/>
                        <a:stretch/>
                      </pic:blipFill>
                      <pic:spPr bwMode="auto">
                        <a:xfrm>
                          <a:off x="0" y="0"/>
                          <a:ext cx="2622078" cy="223429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06.46pt;height:175.93pt;mso-wrap-distance-left:0.00pt;mso-wrap-distance-top:0.00pt;mso-wrap-distance-right:0.00pt;mso-wrap-distance-bottom:0.00pt;z-index:1;">
                <v:imagedata r:id="rId14"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UMAP 3D embedding </w:t>
      </w:r>
      <w:r>
        <w:rPr>
          <w:rFonts w:ascii="Times New Roman" w:hAnsi="Times New Roman" w:eastAsia="Times New Roman" w:cs="Times New Roman"/>
          <w:i/>
          <w:iCs/>
          <w:color w:val="000000"/>
          <w:shd w:val="clear" w:color="auto" w:fill="auto"/>
          <w:rtl w:val="0"/>
        </w:rPr>
        <w:t xml:space="preserve">colored</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by location identity (L1–L5). Location-specific clusters confirm strong environmental main effects.</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ED">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2967927" cy="257432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15"/>
                        <a:srcRect l="0" t="0" r="0" b="0"/>
                        <a:stretch/>
                      </pic:blipFill>
                      <pic:spPr bwMode="auto">
                        <a:xfrm>
                          <a:off x="0" y="0"/>
                          <a:ext cx="2967927" cy="25743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3.70pt;height:202.70pt;mso-wrap-distance-left:0.00pt;mso-wrap-distance-top:0.00pt;mso-wrap-distance-right:0.00pt;mso-wrap-distance-bottom:0.00pt;z-index:1;">
                <v:imagedata r:id="rId15"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7:</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t-SNE 3D embedding </w:t>
      </w:r>
      <w:r>
        <w:rPr>
          <w:rFonts w:ascii="Times New Roman" w:hAnsi="Times New Roman" w:eastAsia="Times New Roman" w:cs="Times New Roman"/>
          <w:i/>
          <w:iCs/>
          <w:color w:val="000000"/>
          <w:shd w:val="clear" w:color="auto" w:fill="auto"/>
          <w:rtl w:val="0"/>
        </w:rPr>
        <w:t xml:space="preserve">colored</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by grain yield, revealing finer local </w:t>
      </w:r>
      <w:r>
        <w:rPr>
          <w:rFonts w:ascii="Times New Roman" w:hAnsi="Times New Roman" w:eastAsia="Times New Roman" w:cs="Times New Roman"/>
          <w:i/>
          <w:iCs/>
          <w:color w:val="000000"/>
          <w:shd w:val="clear" w:color="auto" w:fill="auto"/>
          <w:rtl w:val="0"/>
        </w:rPr>
        <w:t xml:space="preserve">neighborhood</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structure.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EF">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2537637" cy="2567334"/>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16"/>
                        <a:srcRect l="0" t="0" r="0" b="0"/>
                        <a:stretch/>
                      </pic:blipFill>
                      <pic:spPr bwMode="auto">
                        <a:xfrm>
                          <a:off x="0" y="0"/>
                          <a:ext cx="2537637" cy="256733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99.81pt;height:202.15pt;mso-wrap-distance-left:0.00pt;mso-wrap-distance-top:0.00pt;mso-wrap-distance-right:0.00pt;mso-wrap-distance-bottom:0.00pt;z-index:1;">
                <v:imagedata r:id="rId16"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8: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t-SNE 3D embedding </w:t>
      </w:r>
      <w:r>
        <w:rPr>
          <w:rFonts w:ascii="Times New Roman" w:hAnsi="Times New Roman" w:eastAsia="Times New Roman" w:cs="Times New Roman"/>
          <w:i/>
          <w:iCs/>
          <w:color w:val="000000"/>
          <w:shd w:val="clear" w:color="auto" w:fill="auto"/>
          <w:rtl w:val="0"/>
        </w:rPr>
        <w:t xml:space="preserve">colored</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by location identity (L1–L5). Partial mixing reflects genotype-driven cross-environment overlap.</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F1">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3.4 Model Performance Comparison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0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t xml:space="preserve">A dozen different math models tried to guess how much lentil grain wou</w:t>
      </w:r>
      <w:r>
        <w:rPr>
          <w:rFonts w:ascii="Times New Roman" w:hAnsi="Times New Roman" w:eastAsia="Times New Roman" w:cs="Times New Roman"/>
          <w:rtl w:val="0"/>
        </w:rPr>
        <w:t xml:space="preserve">ld grow, using plant shapes, timing clues, and mixed traits. Each model was checked on 3 metrics: how well it matched data (R²), its average misses (MAE), and bigger errors squared and then averaged (RMSE) on both practice rounds and fresh, unseen checks. </w:t>
      </w:r>
      <w:r>
        <w:rPr>
          <w:rFonts w:ascii="Times New Roman" w:hAnsi="Times New Roman" w:cs="Times New Roman"/>
        </w:rPr>
      </w:r>
      <w:r>
        <w:rPr>
          <w:rFonts w:ascii="Times New Roman" w:hAnsi="Times New Roman" w:cs="Times New Roman"/>
        </w:rPr>
      </w:r>
    </w:p>
    <w:p w14:paraId="000000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t xml:space="preserve">Ridge regression won each of the analyses clearly with a test R² of 0.8072  [6] , [8]. Its error measures were 183.77 kg ha⁻¹ for RMSE and 144.84 kg ha⁻¹ for MAE. To see if this is reliable or not, we have</w:t>
      </w:r>
      <w:r>
        <w:rPr>
          <w:rFonts w:ascii="Times New Roman" w:hAnsi="Times New Roman" w:eastAsia="Times New Roman" w:cs="Times New Roman"/>
          <w:rtl w:val="0"/>
        </w:rPr>
        <w:t xml:space="preserve"> found the smallest gap between training and test performance for any linear method without Bayes, just 0.0097. ElasticNet was a close second with an R² of 0.8026, and Bayesian Ridge posted a 0.7877. Both were also very consistent with gaps of 0.0062 and 0</w:t>
      </w:r>
      <w:r>
        <w:rPr>
          <w:rFonts w:ascii="Times New Roman" w:hAnsi="Times New Roman" w:eastAsia="Times New Roman" w:cs="Times New Roman"/>
          <w:rtl w:val="0"/>
        </w:rPr>
        <w:t xml:space="preserve">.0086. More naive models such as basic linear regression and standard Lasso were ranked lower: 0.7965 and 0.7970 for R². But they fell more sharply from train to test, 0.0325 and 0.0355, suggesting they had a little trouble when features lined up too well.</w:t>
      </w:r>
      <w:r>
        <w:rPr>
          <w:rFonts w:ascii="Times New Roman" w:hAnsi="Times New Roman" w:cs="Times New Roman"/>
        </w:rPr>
      </w:r>
      <w:r>
        <w:rPr>
          <w:rFonts w:ascii="Times New Roman" w:hAnsi="Times New Roman" w:cs="Times New Roman"/>
        </w:rPr>
      </w:r>
    </w:p>
    <w:p w14:paraId="000000F4">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4783376" cy="283074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7"/>
                        <a:srcRect l="0" t="0" r="0" b="0"/>
                        <a:stretch/>
                      </pic:blipFill>
                      <pic:spPr bwMode="auto">
                        <a:xfrm>
                          <a:off x="0" y="0"/>
                          <a:ext cx="4783376" cy="28307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6.64pt;height:222.89pt;mso-wrap-distance-left:0.00pt;mso-wrap-distance-top:0.00pt;mso-wrap-distance-right:0.00pt;mso-wrap-distance-bottom:0.00pt;z-index:1;">
                <v:imagedata r:id="rId17"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9:</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Four-panel model comparison: R² Score Comparison (top-left), RMSE Comparison (top-right), MAE Comparison (bottom-left), and overall Test R² ranking (bottom-right). Ridge: Test R² = 0.8072.</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0F6">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Tree-style models struggled to fit too closely to training data, right off the bat. In new examples, their performance dropped dramatically on testing rather than remaining stable. Let's take the decision tr</w:t>
      </w:r>
      <w:r>
        <w:rPr>
          <w:rFonts w:ascii="Times New Roman" w:hAnsi="Times New Roman" w:eastAsia="Times New Roman" w:cs="Times New Roman"/>
          <w:rtl w:val="0"/>
        </w:rPr>
        <w:t xml:space="preserve">ee and KNN; both got a full 1.000 score when trained  [2], [12], but then dropped to only 0.6339 and 0.7642 on unseen data. They overestimated by 0.3661 and 0.2358 when judged out of training. Random Forest and Gradient Boosting were up next, starting off </w:t>
      </w:r>
      <w:r>
        <w:rPr>
          <w:rFonts w:ascii="Times New Roman" w:hAnsi="Times New Roman" w:eastAsia="Times New Roman" w:cs="Times New Roman"/>
          <w:rtl w:val="0"/>
        </w:rPr>
        <w:t xml:space="preserve">strong at 0.9565 and 0.9691 during learning and then dipping down to 0.7796 and 0.7859, respectively. Loss of accuracy? 0.1770 and 0.1831 are between phases. Even the combined method of RF plus XGBoost showed indications; it scored 0.9803 in training but o</w:t>
      </w:r>
      <w:r>
        <w:rPr>
          <w:rFonts w:ascii="Times New Roman" w:hAnsi="Times New Roman" w:eastAsia="Times New Roman" w:cs="Times New Roman"/>
          <w:rtl w:val="0"/>
        </w:rPr>
        <w:t xml:space="preserve">nly achieved 0.7609 in testing, off by 0.2194. Further complicating the picture, XGBoost performed almost flawlessly on training data, with results close to 1.000, but dropped to 0.6708 on real evaluation, a drop of 0.3292. Support Vector Regression obtain</w:t>
      </w:r>
      <w:r>
        <w:rPr>
          <w:rFonts w:ascii="Times New Roman" w:hAnsi="Times New Roman" w:eastAsia="Times New Roman" w:cs="Times New Roman"/>
          <w:rtl w:val="0"/>
        </w:rPr>
        <w:t xml:space="preserve">ed a test R² of 0.0866 and an RMSE value of almost 400 kg ha⁻¹, indicating that with default parameters and kernel function, it was not able to detect the true patterns in the data. Figure 9 was a bar chart showing the result for each model once you got in</w:t>
      </w:r>
      <w:r>
        <w:rPr>
          <w:rFonts w:ascii="Times New Roman" w:hAnsi="Times New Roman" w:eastAsia="Times New Roman" w:cs="Times New Roman"/>
          <w:rtl w:val="0"/>
        </w:rPr>
        <w:t xml:space="preserve">to it. Ridge was the best, with an R2 above 0.8 on the test set, and was clearly marked in green. When tested on unseen cases, every flexible, shape-fitting algorithm ended up trailing that line. Under those circumstances, the simpler structure broke away.</w:t>
      </w:r>
      <w:r>
        <w:rPr>
          <w:rFonts w:ascii="Times New Roman" w:hAnsi="Times New Roman" w:cs="Times New Roman"/>
        </w:rPr>
      </w:r>
      <w:r>
        <w:rPr>
          <w:rFonts w:ascii="Times New Roman" w:hAnsi="Times New Roman" w:cs="Times New Roman"/>
        </w:rPr>
      </w:r>
    </w:p>
    <w:p w14:paraId="000000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Table 2</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Comparative performance of twelve machine learning models. The best-performing model (Ridge) is shown in the top row.</w:t>
      </w:r>
      <w:r>
        <w:rPr>
          <w:rFonts w:ascii="Times New Roman" w:hAnsi="Times New Roman" w:cs="Times New Roman"/>
          <w:b/>
          <w:bCs/>
          <w:i/>
          <w:iCs/>
          <w:smallCaps w:val="0"/>
          <w:strike w:val="0"/>
          <w:color w:val="000000"/>
          <w:sz w:val="24"/>
          <w:szCs w:val="24"/>
          <w:u w:val="none"/>
          <w:shd w:val="clear" w:color="auto" w:fill="auto"/>
          <w:vertAlign w:val="baseline"/>
        </w:rPr>
      </w:r>
      <w:r>
        <w:rPr>
          <w:rFonts w:ascii="Times New Roman" w:hAnsi="Times New Roman" w:cs="Times New Roman"/>
          <w:b/>
          <w:bCs/>
          <w:i/>
          <w:iCs/>
          <w:smallCaps w:val="0"/>
          <w:strike w:val="0"/>
          <w:color w:val="000000"/>
          <w:sz w:val="24"/>
          <w:szCs w:val="24"/>
          <w:u w:val="none"/>
          <w:shd w:val="clear" w:color="auto" w:fill="auto"/>
          <w:vertAlign w:val="baseline"/>
        </w:rPr>
      </w:r>
    </w:p>
    <w:tbl>
      <w:tblPr>
        <w:tblStyle w:val="899"/>
        <w:tblInd w:w="-180" w:type="dxa"/>
        <w:tblW w:w="935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Pr>
      <w:tblGrid>
        <w:gridCol w:w="1169"/>
        <w:gridCol w:w="1169"/>
        <w:gridCol w:w="1169"/>
        <w:gridCol w:w="1169"/>
        <w:gridCol w:w="1169"/>
        <w:gridCol w:w="1169"/>
        <w:gridCol w:w="1169"/>
        <w:gridCol w:w="1169"/>
        <w:tblGridChange w:id="1">
          <w:tblGrid>
            <w:gridCol w:w="1169"/>
            <w:gridCol w:w="1169"/>
            <w:gridCol w:w="1169"/>
            <w:gridCol w:w="1169"/>
            <w:gridCol w:w="1169"/>
            <w:gridCol w:w="1169"/>
            <w:gridCol w:w="1169"/>
            <w:gridCol w:w="1169"/>
          </w:tblGrid>
        </w:tblGridChange>
      </w:tblGrid>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0F8">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Model</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0F9">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Train R²</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0FA">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Test R²</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0FB">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Train RMSE</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0FC">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Test RMSE</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0FD">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Train MAE</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0FE">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Test MAE</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0FF">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Overfitting Gap</w:t>
            </w:r>
            <w:r>
              <w:rPr>
                <w:rFonts w:ascii="Times New Roman" w:hAnsi="Times New Roman" w:cs="Times New Roman"/>
                <w:b/>
                <w:bCs/>
                <w:sz w:val="16"/>
                <w:szCs w:val="16"/>
              </w:rPr>
            </w:r>
            <w:r>
              <w:rPr>
                <w:rFonts w:ascii="Times New Roman" w:hAnsi="Times New Roman" w:cs="Times New Roman"/>
                <w:b/>
                <w:bCs/>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0">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Ridge</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1">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0.8169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2">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0.8072</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3">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156.9376</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4">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183.771</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5">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128.5215</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6">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144.8445</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7">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0.0097</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8">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ElasticNet</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9">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0.8088</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A">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0.8026</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B">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160.4009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C">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185.9502</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D">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132.1859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E">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144.5614</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0F">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0.0062</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0">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Lasso</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1">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0.8295</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2">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0.797</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3">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151.481</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4">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188.5838</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5">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124.7774</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6">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154.0109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7">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0.0325</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8">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Linear Regression</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9">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0.832</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A">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0.7965</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B">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150.3628</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C">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188.8158</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D">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123.6066</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E">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155.7813</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1F">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0.0355</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0">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Bayesian Ridge</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1">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0.7963</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2">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0.7877</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3">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165.5407</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4">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192.8472</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5">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137.2496</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6">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147.3646</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7">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0.0086</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8">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Gradient Boosting</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9">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0.9691</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A">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0.7859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B">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64.5267</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C">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193.647</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D">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51.9354</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E">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144.6263</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2F">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0.1831</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0">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Random Forest</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1">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0.9565</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2">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0.7796</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3">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76.4609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4">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196.4869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5">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61.6975</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6">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153.1963</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7">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0.177</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8">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KNN</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9">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1.0</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A">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0.7642</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B">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C">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203.2259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D">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E">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161.7558</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3F">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0.2358</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0">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Hybrid (RF+XGB)</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1">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0.9803</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2">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0.7609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3">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51.4459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4">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204.6452</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5">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41.5154</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6">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158.112</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7">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0.2194</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8">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XGBoost</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9">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1.0</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A">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0.6708</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B">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1.9875</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C">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240.1339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D">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1.4525</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E">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181.4168</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4F">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0.3292</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0">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Decision Tree</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1">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1.0</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2">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0.6339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3">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4">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253.2163</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5">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6">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210.0379</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7">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0.3661</w:t>
            </w:r>
            <w:r>
              <w:rPr>
                <w:rFonts w:ascii="Times New Roman" w:hAnsi="Times New Roman" w:cs="Times New Roman"/>
                <w:sz w:val="16"/>
                <w:szCs w:val="16"/>
              </w:rPr>
            </w:r>
            <w:r>
              <w:rPr>
                <w:rFonts w:ascii="Times New Roman" w:hAnsi="Times New Roman" w:cs="Times New Roman"/>
                <w:sz w:val="16"/>
                <w:szCs w:val="16"/>
              </w:rPr>
            </w:r>
          </w:p>
        </w:tc>
      </w:tr>
      <w:tr>
        <w:trPr>
          <w:cantSplit w:val="false"/>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8">
            <w:pPr>
              <w:pBdr/>
              <w:spacing/>
              <w:ind/>
              <w:jc w:val="center"/>
              <w:rPr>
                <w:rFonts w:ascii="Times New Roman" w:hAnsi="Times New Roman" w:cs="Times New Roman"/>
                <w:b/>
                <w:bCs/>
                <w:sz w:val="16"/>
                <w:szCs w:val="16"/>
              </w:rPr>
            </w:pPr>
            <w:r>
              <w:rPr>
                <w:rFonts w:ascii="Times New Roman" w:hAnsi="Times New Roman" w:eastAsia="Times New Roman" w:cs="Times New Roman"/>
                <w:b/>
                <w:bCs/>
                <w:i w:val="0"/>
                <w:iCs w:val="0"/>
                <w:strike w:val="0"/>
                <w:color w:val="000000"/>
                <w:sz w:val="16"/>
                <w:szCs w:val="16"/>
                <w:u w:val="none"/>
                <w:vertAlign w:val="baseline"/>
                <w:rtl w:val="0"/>
              </w:rPr>
              <w:t xml:space="preserve">SVR</w:t>
            </w:r>
            <w:r>
              <w:rPr>
                <w:rFonts w:ascii="Times New Roman" w:hAnsi="Times New Roman" w:cs="Times New Roman"/>
                <w:b/>
                <w:bCs/>
                <w:sz w:val="16"/>
                <w:szCs w:val="16"/>
              </w:rPr>
            </w:r>
            <w:r>
              <w:rPr>
                <w:rFonts w:ascii="Times New Roman" w:hAnsi="Times New Roman" w:cs="Times New Roman"/>
                <w:b/>
                <w:bCs/>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9">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0.1398</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A">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0.0866</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B">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340.2064</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C">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399.9997</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D">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283.0134</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E">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344.0408</w:t>
            </w:r>
            <w:r>
              <w:rPr>
                <w:rFonts w:ascii="Times New Roman" w:hAnsi="Times New Roman" w:cs="Times New Roman"/>
                <w:sz w:val="16"/>
                <w:szCs w:val="16"/>
              </w:rPr>
            </w:r>
            <w:r>
              <w:rPr>
                <w:rFonts w:ascii="Times New Roman" w:hAnsi="Times New Roman" w:cs="Times New Roman"/>
                <w:sz w:val="16"/>
                <w:szCs w:val="16"/>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vAlign w:val="center"/>
            <w:textDirection w:val="lrTb"/>
            <w:noWrap w:val="false"/>
          </w:tcPr>
          <w:p w14:paraId="0000015F">
            <w:pPr>
              <w:pBdr/>
              <w:spacing/>
              <w:ind/>
              <w:jc w:val="center"/>
              <w:rPr>
                <w:rFonts w:ascii="Times New Roman" w:hAnsi="Times New Roman" w:cs="Times New Roman"/>
                <w:sz w:val="16"/>
                <w:szCs w:val="16"/>
              </w:rPr>
            </w:pPr>
            <w:r>
              <w:rPr>
                <w:rFonts w:ascii="Times New Roman" w:hAnsi="Times New Roman" w:eastAsia="Times New Roman" w:cs="Times New Roman"/>
                <w:b w:val="0"/>
                <w:bCs w:val="0"/>
                <w:i w:val="0"/>
                <w:iCs w:val="0"/>
                <w:strike w:val="0"/>
                <w:color w:val="000000"/>
                <w:sz w:val="16"/>
                <w:szCs w:val="16"/>
                <w:u w:val="none"/>
                <w:vertAlign w:val="baseline"/>
                <w:rtl w:val="0"/>
              </w:rPr>
              <w:t xml:space="preserve">0.0532</w:t>
            </w:r>
            <w:r>
              <w:rPr>
                <w:rFonts w:ascii="Times New Roman" w:hAnsi="Times New Roman" w:cs="Times New Roman"/>
                <w:sz w:val="16"/>
                <w:szCs w:val="16"/>
              </w:rPr>
            </w:r>
            <w:r>
              <w:rPr>
                <w:rFonts w:ascii="Times New Roman" w:hAnsi="Times New Roman" w:cs="Times New Roman"/>
                <w:sz w:val="16"/>
                <w:szCs w:val="16"/>
              </w:rPr>
            </w:r>
          </w:p>
        </w:tc>
      </w:tr>
    </w:tbl>
    <w:p w14:paraId="00000160">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3.5 Nested Cross-Validation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161">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The nested CV mean R² of 0.7289 ± 0.0177 was reasonably close to the independently evaluated </w:t>
      </w:r>
      <w:r>
        <w:rPr>
          <w:rFonts w:ascii="Times New Roman" w:hAnsi="Times New Roman" w:eastAsia="Times New Roman" w:cs="Times New Roman"/>
          <w:color w:val="000000"/>
          <w:sz w:val="24"/>
          <w:szCs w:val="24"/>
          <w:shd w:val="clear" w:color="auto" w:fill="auto"/>
          <w:rtl w:val="0"/>
        </w:rPr>
        <w:t xml:space="preserve">[36] </w:t>
      </w:r>
      <w:r>
        <w:rPr>
          <w:rFonts w:ascii="Times New Roman" w:hAnsi="Times New Roman" w:eastAsia="Times New Roman" w:cs="Times New Roman"/>
          <w:rtl w:val="0"/>
        </w:rPr>
        <w:t xml:space="preserve">holdout test R² of 0.8072, confirming that the reported accuracy is representative of true generalization and is not inflated by hyperparameter optimism bias. The difference of approximately 0.08 between nested CV and hold-out test R² is exp</w:t>
      </w:r>
      <w:r>
        <w:rPr>
          <w:rFonts w:ascii="Times New Roman" w:hAnsi="Times New Roman" w:eastAsia="Times New Roman" w:cs="Times New Roman"/>
          <w:rtl w:val="0"/>
        </w:rPr>
        <w:t xml:space="preserve">ected given that random splitting (rather than group-aware splitting) was used for the hold-out set, which may allow some group-identity information to pass from training to test folds [31]. The distribution of fold-level R² values is shown in Figure 12.2.</w:t>
      </w:r>
      <w:r>
        <w:rPr>
          <w:rFonts w:ascii="Times New Roman" w:hAnsi="Times New Roman" w:cs="Times New Roman"/>
        </w:rPr>
      </w:r>
      <w:r>
        <w:rPr>
          <w:rFonts w:ascii="Times New Roman" w:hAnsi="Times New Roman" w:cs="Times New Roman"/>
        </w:rPr>
      </w:r>
    </w:p>
    <w:p w14:paraId="00000162">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4755132" cy="1613761"/>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18"/>
                        <a:srcRect l="0" t="0" r="0" b="0"/>
                        <a:stretch/>
                      </pic:blipFill>
                      <pic:spPr bwMode="auto">
                        <a:xfrm>
                          <a:off x="0" y="0"/>
                          <a:ext cx="4755132" cy="161376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74.42pt;height:127.07pt;mso-wrap-distance-left:0.00pt;mso-wrap-distance-top:0.00pt;mso-wrap-distance-right:0.00pt;mso-wrap-distance-bottom:0.00pt;z-index:1;">
                <v:imagedata r:id="rId18"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1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10:</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Nested cross-validation results. Left: box plot showing R² across five outer folds (mean = 0.7289, SD = 0.0177). Right: per-fold R² bar chart with mean reference line.</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164">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The nested cross-validation confirms consistent generalization, with a mean nested CV R² of 0.7289 (± 0.0177) compared to the hold-out test R² of</w:t>
      </w:r>
      <w:r>
        <w:rPr>
          <w:rFonts w:ascii="Times New Roman" w:hAnsi="Times New Roman" w:eastAsia="Times New Roman" w:cs="Times New Roman"/>
          <w:rtl w:val="0"/>
        </w:rPr>
        <w:t xml:space="preserve"> 0.8072. The moderate gap (~0.08) between the two estimates is attributable to the random train/test split used for the hold-out set, which does not enforce group separation by location or genotype; future work should apply Leave-One-Environment-Out (LOEO)</w:t>
      </w:r>
      <w:r>
        <w:rPr>
          <w:rFonts w:ascii="Times New Roman" w:hAnsi="Times New Roman" w:eastAsia="Times New Roman" w:cs="Times New Roman"/>
          <w:rtl w:val="0"/>
        </w:rPr>
        <w:t xml:space="preserve"> or Leave-One-Genotype-Out (LOGO) cross-validation to obtain estimates representative of extrapolation scenarios. Nevertheless, the stability of nested CV R² across folds supports the robustness of ridge regression for within-trial lentil yield prediction.</w:t>
      </w:r>
      <w:r>
        <w:rPr>
          <w:rFonts w:ascii="Times New Roman" w:hAnsi="Times New Roman" w:cs="Times New Roman"/>
        </w:rPr>
      </w:r>
      <w:r>
        <w:rPr>
          <w:rFonts w:ascii="Times New Roman" w:hAnsi="Times New Roman" w:cs="Times New Roman"/>
        </w:rPr>
      </w:r>
    </w:p>
    <w:p w14:paraId="00000165">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5772149" cy="2138236"/>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19"/>
                        <a:srcRect l="0" t="0" r="0" b="0"/>
                        <a:stretch/>
                      </pic:blipFill>
                      <pic:spPr bwMode="auto">
                        <a:xfrm>
                          <a:off x="0" y="0"/>
                          <a:ext cx="5772149" cy="213823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4.50pt;height:168.37pt;mso-wrap-distance-left:0.00pt;mso-wrap-distance-top:0.00pt;mso-wrap-distance-right:0.00pt;mso-wrap-distance-bottom:0.00pt;z-index:1;">
                <v:imagedata r:id="rId19"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1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11:</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shows actual vs. predicted scatter plots </w:t>
      </w:r>
      <w:r>
        <w:rPr>
          <w:rFonts w:ascii="Times New Roman" w:hAnsi="Times New Roman" w:cs="Times New Roman"/>
          <w:b w:val="0"/>
          <w:bCs w:val="0"/>
          <w:i/>
          <w:iCs/>
          <w:smallCaps w:val="0"/>
          <w:strike w:val="0"/>
          <w:color w:val="000000"/>
          <w:sz w:val="24"/>
          <w:szCs w:val="24"/>
          <w:u w:val="none"/>
          <w:shd w:val="clear" w:color="auto" w:fill="auto"/>
          <w:vertAlign w:val="baseline"/>
        </w:rPr>
      </w:r>
      <w:r>
        <w:rPr>
          <w:rFonts w:ascii="Times New Roman" w:hAnsi="Times New Roman" w:cs="Times New Roman"/>
          <w:b w:val="0"/>
          <w:bCs w:val="0"/>
          <w:i/>
          <w:iCs/>
          <w:smallCaps w:val="0"/>
          <w:strike w:val="0"/>
          <w:color w:val="000000"/>
          <w:sz w:val="24"/>
          <w:szCs w:val="24"/>
          <w:u w:val="none"/>
          <w:shd w:val="clear" w:color="auto" w:fill="auto"/>
          <w:vertAlign w:val="baseline"/>
        </w:rPr>
      </w:r>
    </w:p>
    <w:p w14:paraId="00000167">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Ridge Regression did well when looking at the proximity of the predictions to the actual grain yield numbers (Figure 11). In the training group, 100 data points, or dots, were evenly lined up along the ideal match line, from abou</w:t>
      </w:r>
      <w:r>
        <w:rPr>
          <w:rFonts w:ascii="Times New Roman" w:hAnsi="Times New Roman" w:eastAsia="Times New Roman" w:cs="Times New Roman"/>
          <w:rtl w:val="0"/>
        </w:rPr>
        <w:t xml:space="preserve">t 770 to 2,100 kg per hectare; R squared was 0.8169 here. When applied to new data, 50 cases, the pattern remained robust across all observed actual yields, with an R-squared close to 0.8072. The error measures were a mean absolute error of 144.84 kg ha⁻¹,</w:t>
      </w:r>
      <w:r>
        <w:rPr>
          <w:rFonts w:ascii="Times New Roman" w:hAnsi="Times New Roman" w:eastAsia="Times New Roman" w:cs="Times New Roman"/>
          <w:rtl w:val="0"/>
        </w:rPr>
        <w:t xml:space="preserve"> an average percentage error just over 11%, and a highest single miss of 55</w:t>
      </w:r>
      <w:r>
        <w:rPr>
          <w:rFonts w:ascii="Times New Roman" w:hAnsi="Times New Roman" w:eastAsia="Times New Roman" w:cs="Times New Roman"/>
          <w:rtl w:val="0"/>
        </w:rPr>
        <w:t xml:space="preserve">4.11 kg ha⁻¹ (see Table 2). A few top-end results, &gt; 2000 kg ha⁻¹, were somewhat below predictions. The model smoothing built in to avoid wild guesses creates that little tug towards average values. Still, overall, dots were on the perfect fit diagonal wit</w:t>
      </w:r>
      <w:r>
        <w:rPr>
          <w:rFonts w:ascii="Times New Roman" w:hAnsi="Times New Roman" w:eastAsia="Times New Roman" w:cs="Times New Roman"/>
          <w:rtl w:val="0"/>
        </w:rPr>
        <w:t xml:space="preserve">hout tilting too high or low in any segment, which meant estimates were stable at any yield level. This even distribution supports both the shape of the inputs and the choice of a controlled linear approach to forecast these environment-trait interactions.</w:t>
      </w:r>
      <w:r>
        <w:rPr>
          <w:rFonts w:ascii="Times New Roman" w:hAnsi="Times New Roman" w:cs="Times New Roman"/>
        </w:rPr>
      </w:r>
      <w:r>
        <w:rPr>
          <w:rFonts w:ascii="Times New Roman" w:hAnsi="Times New Roman" w:cs="Times New Roman"/>
        </w:rPr>
      </w:r>
    </w:p>
    <w:p w14:paraId="00000168">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3.6 SHAP-Based Feature Importance</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1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t xml:space="preserve">To better understand the system reaction from the farming perspective, every forecast was analyzed with the SHAP analysis [37] on the ridge regression setup, thus decomposing the forecast into clear positive or negative roles of individual inputs (Figure</w:t>
      </w:r>
      <w:r>
        <w:rPr>
          <w:rFonts w:ascii="Times New Roman" w:hAnsi="Times New Roman" w:eastAsia="Times New Roman" w:cs="Times New Roman"/>
          <w:rtl w:val="0"/>
        </w:rPr>
        <w:t xml:space="preserve">s 12, 13, and 14). Rather than enumerating everything, we provide in Figure 12 an overview in which the characteristics are ordered by average impact size. Table 3, on the other hand, has exact figures for those twenty factors pulling the strongest weight.</w:t>
      </w:r>
      <w:r>
        <w:rPr>
          <w:rFonts w:ascii="Times New Roman" w:hAnsi="Times New Roman" w:cs="Times New Roman"/>
        </w:rPr>
      </w:r>
      <w:r>
        <w:rPr>
          <w:rFonts w:ascii="Times New Roman" w:hAnsi="Times New Roman" w:cs="Times New Roman"/>
        </w:rPr>
      </w:r>
    </w:p>
    <w:p w14:paraId="000001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t xml:space="preserve">Among all the individual growth features, DF_BP_Interaction (days to flowering multiplied by branches per plant) was the most prominent, with a mean absolute SHAP value of 140.60 [23], [11]; its contribution was 12.77 percent.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rtl w:val="0"/>
        </w:rPr>
        <w:t xml:space="preserve">That combo matters because a plant’s flowering time in the process of building its bulk affects yield in w</w:t>
      </w:r>
      <w:r>
        <w:rPr>
          <w:rFonts w:ascii="Times New Roman" w:hAnsi="Times New Roman" w:eastAsia="Times New Roman" w:cs="Times New Roman"/>
          <w:rtl w:val="0"/>
        </w:rPr>
        <w:t xml:space="preserve">ays other traits just don’t capture. Thousand seed weight was not far behind with a weight of 102.35  [11], [22] on the scale, which was significant at 9.30 percent. Next is tagged biological yield. A little below that is 100.17, which is 9.10 percent of t</w:t>
      </w:r>
      <w:r>
        <w:rPr>
          <w:rFonts w:ascii="Times New Roman" w:hAnsi="Times New Roman" w:eastAsia="Times New Roman" w:cs="Times New Roman"/>
          <w:rtl w:val="0"/>
        </w:rPr>
        <w:t xml:space="preserve">he whole picture. Pods per plant followed by 89.25, an increase of 8.11 percent [22], [24]. Fifth with 80.34 points was the two-height-by-maturity link, revealing that some life cycle and structure clues boost prediction power when multiplied. Then we have</w:t>
      </w:r>
      <w:r>
        <w:rPr>
          <w:rFonts w:ascii="Times New Roman" w:hAnsi="Times New Roman" w:eastAsia="Times New Roman" w:cs="Times New Roman"/>
          <w:rtl w:val="0"/>
        </w:rPr>
        <w:t xml:space="preserve"> branches on each plant; the count of them appears strong at seventy-eight point one one, taking seven point zero nine percent of the weight. Close behind L_L1, Bashontopur’s marker stands at seventy-three point six zero, adding another six point six eight</w:t>
      </w:r>
      <w:r>
        <w:rPr>
          <w:rFonts w:ascii="Times New Roman" w:hAnsi="Times New Roman" w:eastAsia="Times New Roman" w:cs="Times New Roman"/>
          <w:rtl w:val="0"/>
        </w:rPr>
        <w:t xml:space="preserve"> percent, proving place plays a clear role all by itself. Curvature counts swinging into third PP squared, 67.99617 percent Fifth in the group is the flag of Lalpur, L_L5, landing at sixty-one point nine zero and holding a five point six two percent share.</w:t>
      </w:r>
      <w:r>
        <w:rPr>
          <w:rFonts w:ascii="Times New Roman" w:hAnsi="Times New Roman" w:cs="Times New Roman"/>
        </w:rPr>
      </w:r>
      <w:r>
        <w:rPr>
          <w:rFonts w:ascii="Times New Roman" w:hAnsi="Times New Roman" w:cs="Times New Roman"/>
        </w:rPr>
      </w:r>
    </w:p>
    <w:p w14:paraId="0000016B">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In Figure 13, the SHAP dots show how each factor pushes the predictions up or down according to its level. In case of high DF_BP_Interaction, TSW or BY, they act far rightward i.e., increase predictions of grain yield via more</w:t>
      </w:r>
      <w:r>
        <w:rPr>
          <w:rFonts w:ascii="Times New Roman" w:hAnsi="Times New Roman" w:eastAsia="Times New Roman" w:cs="Times New Roman"/>
          <w:rtl w:val="0"/>
        </w:rPr>
        <w:t xml:space="preserve"> robust reproduction (DF_BP_Interaction), seed weight (TSW) or total plant output (BY). PP, on the other hand, splits into two clusters, where too many pods or too few lower the estimate, while medium quantities help the most, which is consistent with earl</w:t>
      </w:r>
      <w:r>
        <w:rPr>
          <w:rFonts w:ascii="Times New Roman" w:hAnsi="Times New Roman" w:eastAsia="Times New Roman" w:cs="Times New Roman"/>
          <w:rtl w:val="0"/>
        </w:rPr>
        <w:t xml:space="preserve">ier findings where excessive branching hurts yields when water is scarce. Genotypes tested at Bashontopur show a clear negative signal, pulling the results to the left, as harvests there average just 1,228.84 kg per hectare, well below the general average.</w:t>
      </w:r>
      <w:r>
        <w:rPr>
          <w:rFonts w:ascii="Times New Roman" w:hAnsi="Times New Roman" w:cs="Times New Roman"/>
        </w:rPr>
      </w:r>
      <w:r>
        <w:rPr>
          <w:rFonts w:ascii="Times New Roman" w:hAnsi="Times New Roman" w:cs="Times New Roman"/>
        </w:rPr>
      </w:r>
    </w:p>
    <w:p w14:paraId="0000016C">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By looking at Figure 13, the SHAP breakdown, we can see how three different yield cases wer</w:t>
      </w:r>
      <w:r>
        <w:rPr>
          <w:rFonts w:ascii="Times New Roman" w:hAnsi="Times New Roman" w:eastAsia="Times New Roman" w:cs="Times New Roman"/>
          <w:rtl w:val="0"/>
        </w:rPr>
        <w:t xml:space="preserve">e calculated. Poor early growth and weak branching, both of which dragged results down by over 200 and 150 points respectively, largely contributed to the failure to achieve the expected output of 874 kg/ha (only 787 kg/ha). Those drops were slightly offse</w:t>
      </w:r>
      <w:r>
        <w:rPr>
          <w:rFonts w:ascii="Times New Roman" w:hAnsi="Times New Roman" w:eastAsia="Times New Roman" w:cs="Times New Roman"/>
          <w:rtl w:val="0"/>
        </w:rPr>
        <w:t xml:space="preserve">t by the combined factors working together to produce a little increase. In the middle case, the actual harvest was close to the forecast: 1,408 kg per hectare versus 1,427 kg per hectare. Here influence was more balanced; seed size and sprouting speed add</w:t>
      </w:r>
      <w:r>
        <w:rPr>
          <w:rFonts w:ascii="Times New Roman" w:hAnsi="Times New Roman" w:eastAsia="Times New Roman" w:cs="Times New Roman"/>
          <w:rtl w:val="0"/>
        </w:rPr>
        <w:t xml:space="preserve">ed gains along with synergy effects worth about 200 units. The top performance was 2,194 compared to the estimate of 1,994 for a real yield. Several factors pushed values up strongly including plant height traits squared, branch point timing interactions, </w:t>
      </w:r>
      <w:r>
        <w:rPr>
          <w:rFonts w:ascii="Times New Roman" w:hAnsi="Times New Roman" w:eastAsia="Times New Roman" w:cs="Times New Roman"/>
          <w:rtl w:val="0"/>
        </w:rPr>
        <w:t xml:space="preserve">and pod count patterns. Some of the limitations were due to late flowering and short branches pulling down. The small deficit at the higher levels is due to an inherent dampening of the modeling approach, suggesting that limits prevented extreme reactions.</w:t>
      </w:r>
      <w:r>
        <w:rPr>
          <w:rFonts w:ascii="Times New Roman" w:hAnsi="Times New Roman" w:cs="Times New Roman"/>
        </w:rPr>
      </w:r>
      <w:r>
        <w:rPr>
          <w:rFonts w:ascii="Times New Roman" w:hAnsi="Times New Roman" w:cs="Times New Roman"/>
        </w:rPr>
      </w:r>
    </w:p>
    <w:p w14:paraId="000001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Table 3: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Top 10 features by SHAP importance. Relative importance expressed as a percentage of total SHAP contribution.</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bl>
      <w:tblPr>
        <w:tblStyle w:val="900"/>
        <w:tblInd w:w="-100" w:type="dxa"/>
        <w:tblW w:w="9158" w:type="dxa"/>
        <w:tblBorders/>
        <w:tblLayout w:type="fixed"/>
        <w:tblLook w:val="0020" w:firstRow="1" w:lastRow="0" w:firstColumn="0" w:lastColumn="0" w:noHBand="0" w:noVBand="0"/>
      </w:tblPr>
      <w:tblGrid>
        <w:gridCol w:w="1056"/>
        <w:gridCol w:w="1723"/>
        <w:gridCol w:w="1701"/>
        <w:gridCol w:w="1843"/>
        <w:gridCol w:w="2835"/>
        <w:tblGridChange w:id="2">
          <w:tblGrid>
            <w:gridCol w:w="1056"/>
            <w:gridCol w:w="1723"/>
            <w:gridCol w:w="1701"/>
            <w:gridCol w:w="1843"/>
            <w:gridCol w:w="2835"/>
          </w:tblGrid>
        </w:tblGridChange>
      </w:tblGrid>
      <w:tr>
        <w:trPr>
          <w:cantSplit w:val="false"/>
          <w:tblHeader/>
        </w:trPr>
        <w:tc>
          <w:tcPr>
            <w:tcBorders>
              <w:top w:val="single" w:color="000000" w:sz="4" w:space="0"/>
              <w:left w:val="single" w:color="000000" w:sz="4" w:space="0"/>
              <w:bottom w:val="single" w:color="000000" w:sz="4" w:space="0"/>
              <w:right w:val="single" w:color="000000" w:sz="4" w:space="0"/>
            </w:tcBorders>
            <w:textDirection w:val="lrTb"/>
            <w:noWrap w:val="false"/>
          </w:tcPr>
          <w:p w14:paraId="0000016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Rank</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6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Feature</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SHAP Importance</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Relative Importance (%)</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Interpretation</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4">
            <w:pPr>
              <w:pBdr/>
              <w:spacing w:after="0" w:before="0" w:line="240" w:lineRule="auto"/>
              <w:ind/>
              <w:jc w:val="center"/>
              <w:rPr>
                <w:rFonts w:ascii="Times New Roman" w:hAnsi="Times New Roman" w:cs="Times New Roman"/>
                <w:b/>
                <w:bCs/>
                <w:color w:val="000000"/>
                <w:sz w:val="18"/>
                <w:szCs w:val="18"/>
              </w:rPr>
            </w:pPr>
            <w:r>
              <w:rPr>
                <w:rFonts w:ascii="Times New Roman" w:hAnsi="Times New Roman" w:eastAsia="Times New Roman" w:cs="Times New Roman"/>
                <w:b/>
                <w:bCs/>
                <w:color w:val="000000"/>
                <w:sz w:val="18"/>
                <w:szCs w:val="18"/>
                <w:rtl w:val="0"/>
              </w:rPr>
              <w:t xml:space="preserve">DF_BP_Interaction</w:t>
            </w:r>
            <w:r>
              <w:rPr>
                <w:rFonts w:ascii="Times New Roman" w:hAnsi="Times New Roman" w:cs="Times New Roman"/>
                <w:b/>
                <w:bCs/>
                <w:color w:val="000000"/>
                <w:sz w:val="18"/>
                <w:szCs w:val="18"/>
              </w:rPr>
            </w:r>
            <w:r>
              <w:rPr>
                <w:rFonts w:ascii="Times New Roman" w:hAnsi="Times New Roman" w:cs="Times New Roman"/>
                <w:b/>
                <w:bCs/>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140.60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12.77</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sz w:val="18"/>
                <w:szCs w:val="18"/>
                <w:rtl w:val="0"/>
              </w:rPr>
              <w:t xml:space="preserve">The strongest</w:t>
            </w:r>
            <w:r>
              <w:rPr>
                <w:rFonts w:ascii="Times New Roman" w:hAnsi="Times New Roman" w:eastAsia="Times New Roman" w:cs="Times New Roman"/>
                <w:color w:val="000000"/>
                <w:sz w:val="18"/>
                <w:szCs w:val="18"/>
                <w:rtl w:val="0"/>
              </w:rPr>
              <w:t xml:space="preserve"> </w:t>
            </w:r>
            <w:r>
              <w:rPr>
                <w:rFonts w:ascii="Times New Roman" w:hAnsi="Times New Roman" w:eastAsia="Times New Roman" w:cs="Times New Roman"/>
                <w:sz w:val="18"/>
                <w:szCs w:val="18"/>
                <w:rtl w:val="0"/>
              </w:rPr>
              <w:t xml:space="preserve">predictor,</w:t>
            </w:r>
            <w:r>
              <w:rPr>
                <w:rFonts w:ascii="Times New Roman" w:hAnsi="Times New Roman" w:eastAsia="Times New Roman" w:cs="Times New Roman"/>
                <w:color w:val="000000"/>
                <w:sz w:val="18"/>
                <w:szCs w:val="18"/>
                <w:rtl w:val="0"/>
              </w:rPr>
              <w:t xml:space="preserve"> interaction between days to flowering and branches per plant </w:t>
            </w:r>
            <w:r>
              <w:rPr>
                <w:rFonts w:ascii="Times New Roman" w:hAnsi="Times New Roman" w:eastAsia="Times New Roman" w:cs="Times New Roman"/>
                <w:sz w:val="18"/>
                <w:szCs w:val="18"/>
                <w:rtl w:val="0"/>
              </w:rPr>
              <w:t xml:space="preserve">(BP),</w:t>
            </w:r>
            <w:r>
              <w:rPr>
                <w:rFonts w:ascii="Times New Roman" w:hAnsi="Times New Roman" w:eastAsia="Times New Roman" w:cs="Times New Roman"/>
                <w:color w:val="000000"/>
                <w:sz w:val="18"/>
                <w:szCs w:val="18"/>
                <w:rtl w:val="0"/>
              </w:rPr>
              <w:t xml:space="preserve"> captures both reproductive timing and canopy architecture simultaneously</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TSW</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102.35</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9.30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Thousand seed weight plays a major role in predicting grain yield</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3</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BY</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100.17</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9.10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Biological yield independently ranks among top three drivers</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8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4</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PP</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89.25</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8.11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Panicle (or pod) number contributes substantially</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8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PH_DM_Interaction</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80.34</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7.30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Interaction between plant height and dry matter weight</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8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BP</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78.11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7.09</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Biomass production (or similar BP trait) highly influential</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9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L_L1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73.60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6.68</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First leaf-related trait important for canopy structure</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9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8</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PP_Squared</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67.99</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6.17</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Quadratic effect of pod number captures nonlinear yield response</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9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9</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L_L5</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61.90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5.62</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sz w:val="18"/>
                <w:szCs w:val="18"/>
                <w:rtl w:val="0"/>
              </w:rPr>
              <w:t xml:space="preserve">The fifth</w:t>
            </w:r>
            <w:r>
              <w:rPr>
                <w:rFonts w:ascii="Times New Roman" w:hAnsi="Times New Roman" w:eastAsia="Times New Roman" w:cs="Times New Roman"/>
                <w:color w:val="000000"/>
                <w:sz w:val="18"/>
                <w:szCs w:val="18"/>
                <w:rtl w:val="0"/>
              </w:rPr>
              <w:t xml:space="preserve"> leaf trait continues to add predictive value</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A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Gen_G43</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58.18</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5.28</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Genotype G43 shows strong genetic influence on yield</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A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Gen_G49</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51.25</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4.65</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Genotype G49 also contributes independently</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A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12</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PH_Squared</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31.26</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2.84</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Nonlinear effect of plant height</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A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13</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DE</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27.01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2.45</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Days to emergence moderately important</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B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14</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PH</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23.14</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2.10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Linear effect of plant height</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B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15</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Gen_G1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22.70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2.06</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Genotype G1 adds minor genetic contribution</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B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16</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Gen_G41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20.70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1.88</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Genotype G41 influence is modest</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C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17</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DM_DF_Difference</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18.81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1.71</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Difference between dry matter and days to flowering</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C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DM</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18.34</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1.67</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Dry matter alone contributes least among primary traits</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C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19</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PH_DF_Ratio</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18.06</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1.64</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Ratio of plant height to days to flowering</w:t>
            </w:r>
            <w:r>
              <w:rPr>
                <w:rFonts w:ascii="Times New Roman" w:hAnsi="Times New Roman" w:cs="Times New Roman"/>
                <w:color w:val="000000"/>
                <w:sz w:val="18"/>
                <w:szCs w:val="18"/>
              </w:rPr>
            </w:r>
            <w:r>
              <w:rPr>
                <w:rFonts w:ascii="Times New Roman" w:hAnsi="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D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20</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L_L2</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17.35</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1.58</w:t>
            </w:r>
            <w:r>
              <w:rPr>
                <w:rFonts w:ascii="Times New Roman" w:hAnsi="Times New Roman" w:cs="Times New Roman"/>
                <w:color w:val="000000"/>
                <w:sz w:val="18"/>
                <w:szCs w:val="18"/>
              </w:rPr>
            </w:r>
            <w:r>
              <w:rPr>
                <w:rFonts w:ascii="Times New Roman" w:hAnsi="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sz w:val="18"/>
                <w:szCs w:val="18"/>
                <w:rtl w:val="0"/>
              </w:rPr>
              <w:t xml:space="preserve">The second</w:t>
            </w:r>
            <w:r>
              <w:rPr>
                <w:rFonts w:ascii="Times New Roman" w:hAnsi="Times New Roman" w:eastAsia="Times New Roman" w:cs="Times New Roman"/>
                <w:color w:val="000000"/>
                <w:sz w:val="18"/>
                <w:szCs w:val="18"/>
                <w:rtl w:val="0"/>
              </w:rPr>
              <w:t xml:space="preserve"> leaf trait has smallest relative importance</w:t>
            </w:r>
            <w:r>
              <w:rPr>
                <w:rFonts w:ascii="Times New Roman" w:hAnsi="Times New Roman" w:cs="Times New Roman"/>
                <w:color w:val="000000"/>
                <w:sz w:val="18"/>
                <w:szCs w:val="18"/>
              </w:rPr>
            </w:r>
            <w:r>
              <w:rPr>
                <w:rFonts w:ascii="Times New Roman" w:hAnsi="Times New Roman" w:cs="Times New Roman"/>
                <w:color w:val="000000"/>
                <w:sz w:val="18"/>
                <w:szCs w:val="18"/>
              </w:rPr>
            </w:r>
          </w:p>
        </w:tc>
      </w:tr>
    </w:tbl>
    <w:p w14:paraId="000001D7">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Pr>
        <mc:AlternateContent>
          <mc:Choice Requires="wpg">
            <w:drawing>
              <wp:inline xmlns:wp="http://schemas.openxmlformats.org/drawingml/2006/wordprocessingDrawing" distT="0" distB="0" distL="0" distR="0">
                <wp:extent cx="2646449" cy="285696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20"/>
                        <a:srcRect l="0" t="0" r="0" b="0"/>
                        <a:stretch/>
                      </pic:blipFill>
                      <pic:spPr bwMode="auto">
                        <a:xfrm>
                          <a:off x="0" y="0"/>
                          <a:ext cx="2646449" cy="285696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08.38pt;height:224.96pt;mso-wrap-distance-left:0.00pt;mso-wrap-distance-top:0.00pt;mso-wrap-distance-right:0.00pt;mso-wrap-distance-bottom:0.00pt;z-index:1;">
                <v:imagedata r:id="rId20"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1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left"/>
        <w:rPr>
          <w:rFonts w:ascii="Times New Roman" w:hAnsi="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w:t>
      </w:r>
      <w:r>
        <w:rPr>
          <w:rFonts w:ascii="Times New Roman" w:hAnsi="Times New Roman" w:eastAsia="Times New Roman" w:cs="Times New Roman"/>
          <w:b/>
          <w:bCs/>
          <w:i/>
          <w:iCs/>
          <w:color w:val="000000"/>
          <w:shd w:val="clear" w:color="auto" w:fill="auto"/>
          <w:rtl w:val="0"/>
        </w:rPr>
        <w:t xml:space="preserve">14:</w:t>
      </w:r>
      <w:r>
        <w:rPr>
          <w:rFonts w:ascii="Times New Roman" w:hAnsi="Times New Roman" w:eastAsia="Times New Roman" w:cs="Times New Roman"/>
          <w:i/>
          <w:iCs/>
          <w:color w:val="000000"/>
          <w:shd w:val="clear" w:color="auto" w:fill="auto"/>
          <w:rtl w:val="0"/>
        </w:rPr>
        <w:t xml:space="preserve"> </w:t>
      </w:r>
      <w:r>
        <w:rPr>
          <w:rFonts w:ascii="Times New Roman" w:hAnsi="Times New Roman" w:eastAsia="Times New Roman" w:cs="Times New Roman"/>
          <w:b w:val="0"/>
          <w:bCs w:val="0"/>
          <w:i/>
          <w:iCs/>
          <w:color w:val="000000"/>
          <w:sz w:val="24"/>
          <w:szCs w:val="24"/>
          <w:shd w:val="clear" w:color="auto" w:fill="auto"/>
          <w:rtl w:val="0"/>
        </w:rPr>
        <w:t xml:space="preserve">SHAP feature importance bar plot, mean absolute SHAP values ranked by impact on model </w:t>
      </w:r>
      <w:r>
        <w:rPr>
          <w:rFonts w:ascii="Times New Roman" w:hAnsi="Times New Roman" w:eastAsia="Times New Roman" w:cs="Times New Roman"/>
          <w:i/>
          <w:iCs/>
          <w:rtl w:val="0"/>
        </w:rPr>
        <w:t xml:space="preserve">output. </w:t>
      </w:r>
      <w:r>
        <w:rPr>
          <w:rFonts w:ascii="Times New Roman" w:hAnsi="Times New Roman" w:eastAsia="Times New Roman" w:cs="Times New Roman"/>
          <w:b w:val="0"/>
          <w:bCs w:val="0"/>
          <w:i/>
          <w:iCs/>
          <w:color w:val="000000"/>
          <w:sz w:val="24"/>
          <w:szCs w:val="24"/>
          <w:shd w:val="clear" w:color="auto" w:fill="auto"/>
          <w:rtl w:val="0"/>
        </w:rPr>
        <w:t xml:space="preserve">The plot shows the average magnitude of each feature's contribution to the prediction, with DF_BP_Interaction having the highest mean SHAP value (138.0), followed by TSW (105.0) and BY (100.0).</w:t>
      </w:r>
      <w:r>
        <w:rPr>
          <w:rFonts w:ascii="Times New Roman" w:hAnsi="Times New Roman" w:cs="Times New Roman"/>
          <w:b w:val="0"/>
          <w:bCs w:val="0"/>
          <w:i/>
          <w:iCs/>
          <w:smallCaps w:val="0"/>
          <w:strike w:val="0"/>
          <w:color w:val="000000"/>
          <w:sz w:val="24"/>
          <w:szCs w:val="24"/>
          <w:u w:val="none"/>
          <w:shd w:val="clear" w:color="auto" w:fill="auto"/>
          <w:vertAlign w:val="baseline"/>
        </w:rPr>
      </w:r>
      <w:r>
        <w:rPr>
          <w:rFonts w:ascii="Times New Roman" w:hAnsi="Times New Roman" w:cs="Times New Roman"/>
          <w:b w:val="0"/>
          <w:bCs w:val="0"/>
          <w:i/>
          <w:iCs/>
          <w:smallCaps w:val="0"/>
          <w:strike w:val="0"/>
          <w:color w:val="000000"/>
          <w:sz w:val="24"/>
          <w:szCs w:val="24"/>
          <w:u w:val="none"/>
          <w:shd w:val="clear" w:color="auto" w:fill="auto"/>
          <w:vertAlign w:val="baseline"/>
        </w:rPr>
      </w:r>
    </w:p>
    <w:p w14:paraId="000001D9">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3045164" cy="3714547"/>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1"/>
                        <a:srcRect l="0" t="0" r="0" b="0"/>
                        <a:stretch/>
                      </pic:blipFill>
                      <pic:spPr bwMode="auto">
                        <a:xfrm>
                          <a:off x="0" y="0"/>
                          <a:ext cx="3045164" cy="371454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39.78pt;height:292.48pt;mso-wrap-distance-left:0.00pt;mso-wrap-distance-top:0.00pt;mso-wrap-distance-right:0.00pt;mso-wrap-distance-bottom:0.00pt;z-index:1;">
                <v:imagedata r:id="rId21"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1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13:</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b w:val="0"/>
          <w:bCs w:val="0"/>
          <w:i/>
          <w:iCs/>
          <w:color w:val="000000"/>
          <w:sz w:val="24"/>
          <w:szCs w:val="24"/>
          <w:shd w:val="clear" w:color="auto" w:fill="auto"/>
          <w:rtl w:val="0"/>
        </w:rPr>
        <w:t xml:space="preserve">SHAP summary dot </w:t>
      </w:r>
      <w:r>
        <w:rPr>
          <w:rFonts w:ascii="Times New Roman" w:hAnsi="Times New Roman" w:eastAsia="Times New Roman" w:cs="Times New Roman"/>
          <w:i/>
          <w:iCs/>
          <w:rtl w:val="0"/>
        </w:rPr>
        <w:t xml:space="preserve">plot of</w:t>
      </w:r>
      <w:r>
        <w:rPr>
          <w:rFonts w:ascii="Times New Roman" w:hAnsi="Times New Roman" w:eastAsia="Times New Roman" w:cs="Times New Roman"/>
          <w:b w:val="0"/>
          <w:bCs w:val="0"/>
          <w:i/>
          <w:iCs/>
          <w:color w:val="000000"/>
          <w:sz w:val="24"/>
          <w:szCs w:val="24"/>
          <w:shd w:val="clear" w:color="auto" w:fill="auto"/>
          <w:rtl w:val="0"/>
        </w:rPr>
        <w:t xml:space="preserve"> feature contributions to model output with color coding.</w:t>
      </w:r>
      <w:r>
        <w:rPr>
          <w:rFonts w:ascii="Times New Roman" w:hAnsi="Times New Roman" w:eastAsia="Times New Roman" w:cs="Times New Roman"/>
          <w:i/>
          <w:iCs/>
          <w:rtl w:val="0"/>
        </w:rPr>
        <w:t xml:space="preserve"> </w:t>
      </w:r>
      <w:r>
        <w:rPr>
          <w:rFonts w:ascii="Times New Roman" w:hAnsi="Times New Roman" w:eastAsia="Times New Roman" w:cs="Times New Roman"/>
          <w:b w:val="0"/>
          <w:bCs w:val="0"/>
          <w:i/>
          <w:iCs/>
          <w:color w:val="000000"/>
          <w:sz w:val="24"/>
          <w:szCs w:val="24"/>
          <w:shd w:val="clear" w:color="auto" w:fill="auto"/>
          <w:rtl w:val="0"/>
        </w:rPr>
        <w:t xml:space="preserve">Each dot represents a single sample. The x-axis shows the</w:t>
      </w:r>
      <w:r>
        <w:rPr>
          <w:rFonts w:ascii="Times New Roman" w:hAnsi="Times New Roman" w:eastAsia="Times New Roman" w:cs="Times New Roman"/>
          <w:b w:val="0"/>
          <w:bCs w:val="0"/>
          <w:i/>
          <w:iCs/>
          <w:color w:val="000000"/>
          <w:sz w:val="24"/>
          <w:szCs w:val="24"/>
          <w:shd w:val="clear" w:color="auto" w:fill="auto"/>
          <w:rtl w:val="0"/>
        </w:rPr>
        <w:t xml:space="preserve"> SHAP value (impact on predicted grain yield), and colors indicate whether the feature value is high (red) or low (blue). Features are ranked by importance from top to bottom. Positive SHAP values increase the prediction, while negative values decrease it.</w:t>
      </w:r>
      <w:r>
        <w:rPr>
          <w:rFonts w:ascii="Times New Roman" w:hAnsi="Times New Roman" w:cs="Times New Roman"/>
          <w:b w:val="0"/>
          <w:bCs w:val="0"/>
          <w:i/>
          <w:iCs/>
          <w:smallCaps w:val="0"/>
          <w:strike w:val="0"/>
          <w:color w:val="000000"/>
          <w:sz w:val="24"/>
          <w:szCs w:val="24"/>
          <w:u w:val="none"/>
          <w:shd w:val="clear" w:color="auto" w:fill="auto"/>
          <w:vertAlign w:val="baseline"/>
        </w:rPr>
      </w:r>
      <w:r>
        <w:rPr>
          <w:rFonts w:ascii="Times New Roman" w:hAnsi="Times New Roman" w:cs="Times New Roman"/>
          <w:b w:val="0"/>
          <w:bCs w:val="0"/>
          <w:i/>
          <w:iCs/>
          <w:smallCaps w:val="0"/>
          <w:strike w:val="0"/>
          <w:color w:val="000000"/>
          <w:sz w:val="24"/>
          <w:szCs w:val="24"/>
          <w:u w:val="none"/>
          <w:shd w:val="clear" w:color="auto" w:fill="auto"/>
          <w:vertAlign w:val="baseline"/>
        </w:rPr>
      </w:r>
    </w:p>
    <w:p w14:paraId="000001DB">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5772149" cy="1787722"/>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22"/>
                        <a:srcRect l="0" t="0" r="0" b="0"/>
                        <a:stretch/>
                      </pic:blipFill>
                      <pic:spPr bwMode="auto">
                        <a:xfrm>
                          <a:off x="0" y="0"/>
                          <a:ext cx="5772149" cy="178772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4.50pt;height:140.77pt;mso-wrap-distance-left:0.00pt;mso-wrap-distance-top:0.00pt;mso-wrap-distance-right:0.00pt;mso-wrap-distance-bottom:0.00pt;z-index:1;">
                <v:imagedata r:id="rId22"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1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14:</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b w:val="0"/>
          <w:bCs w:val="0"/>
          <w:i/>
          <w:iCs/>
          <w:color w:val="000000"/>
          <w:sz w:val="24"/>
          <w:szCs w:val="24"/>
          <w:shd w:val="clear" w:color="auto" w:fill="auto"/>
          <w:rtl w:val="0"/>
        </w:rPr>
        <w:t xml:space="preserve">SHAP local explanations for three representative samples: Low yield (Actual: 678, Predicted: 720 kg/ha)</w:t>
      </w:r>
      <w:r>
        <w:rPr>
          <w:rFonts w:ascii="Times New Roman" w:hAnsi="Times New Roman" w:eastAsia="Times New Roman" w:cs="Times New Roman"/>
          <w:b w:val="0"/>
          <w:bCs w:val="0"/>
          <w:i/>
          <w:iCs/>
          <w:color w:val="000000"/>
          <w:shd w:val="clear" w:color="auto" w:fill="auto"/>
          <w:rtl w:val="0"/>
        </w:rPr>
        <w:t xml:space="preserve">,</w:t>
      </w:r>
      <w:r>
        <w:rPr>
          <w:rFonts w:ascii="Times New Roman" w:hAnsi="Times New Roman" w:eastAsia="Times New Roman" w:cs="Times New Roman"/>
          <w:b w:val="0"/>
          <w:bCs w:val="0"/>
          <w:i/>
          <w:iCs/>
          <w:color w:val="000000"/>
          <w:sz w:val="24"/>
          <w:szCs w:val="24"/>
          <w:shd w:val="clear" w:color="auto" w:fill="auto"/>
          <w:rtl w:val="0"/>
        </w:rPr>
        <w:t xml:space="preserve"> </w:t>
      </w:r>
      <w:r>
        <w:rPr>
          <w:rFonts w:ascii="Times New Roman" w:hAnsi="Times New Roman" w:eastAsia="Times New Roman" w:cs="Times New Roman"/>
          <w:i/>
          <w:iCs/>
          <w:rtl w:val="0"/>
        </w:rPr>
        <w:t xml:space="preserve">medium</w:t>
      </w:r>
      <w:r>
        <w:rPr>
          <w:rFonts w:ascii="Times New Roman" w:hAnsi="Times New Roman" w:eastAsia="Times New Roman" w:cs="Times New Roman"/>
          <w:b w:val="0"/>
          <w:bCs w:val="0"/>
          <w:i/>
          <w:iCs/>
          <w:color w:val="000000"/>
          <w:sz w:val="24"/>
          <w:szCs w:val="24"/>
          <w:shd w:val="clear" w:color="auto" w:fill="auto"/>
          <w:rtl w:val="0"/>
        </w:rPr>
        <w:t xml:space="preserve"> yield (Actual: 1,297, Predicted: 1,302 kg/ha)</w:t>
      </w:r>
      <w:r>
        <w:rPr>
          <w:rFonts w:ascii="Times New Roman" w:hAnsi="Times New Roman" w:eastAsia="Times New Roman" w:cs="Times New Roman"/>
          <w:b w:val="0"/>
          <w:bCs w:val="0"/>
          <w:i/>
          <w:iCs/>
          <w:color w:val="000000"/>
          <w:shd w:val="clear" w:color="auto" w:fill="auto"/>
          <w:rtl w:val="0"/>
        </w:rPr>
        <w:t xml:space="preserve">,</w:t>
      </w:r>
      <w:r>
        <w:rPr>
          <w:rFonts w:ascii="Times New Roman" w:hAnsi="Times New Roman" w:eastAsia="Times New Roman" w:cs="Times New Roman"/>
          <w:b w:val="0"/>
          <w:bCs w:val="0"/>
          <w:i/>
          <w:iCs/>
          <w:color w:val="000000"/>
          <w:sz w:val="24"/>
          <w:szCs w:val="24"/>
          <w:shd w:val="clear" w:color="auto" w:fill="auto"/>
          <w:rtl w:val="0"/>
        </w:rPr>
        <w:t xml:space="preserve"> </w:t>
      </w:r>
      <w:r>
        <w:rPr>
          <w:rFonts w:ascii="Times New Roman" w:hAnsi="Times New Roman" w:eastAsia="Times New Roman" w:cs="Times New Roman"/>
          <w:i/>
          <w:iCs/>
          <w:rtl w:val="0"/>
        </w:rPr>
        <w:t xml:space="preserve">and high</w:t>
      </w:r>
      <w:r>
        <w:rPr>
          <w:rFonts w:ascii="Times New Roman" w:hAnsi="Times New Roman" w:eastAsia="Times New Roman" w:cs="Times New Roman"/>
          <w:b w:val="0"/>
          <w:bCs w:val="0"/>
          <w:i/>
          <w:iCs/>
          <w:color w:val="000000"/>
          <w:sz w:val="24"/>
          <w:szCs w:val="24"/>
          <w:shd w:val="clear" w:color="auto" w:fill="auto"/>
          <w:rtl w:val="0"/>
        </w:rPr>
        <w:t xml:space="preserve"> yield (Actual: 2,185, Predicted: 2,104 kg/ha)</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w:t>
      </w:r>
      <w:r>
        <w:rPr>
          <w:rFonts w:ascii="Times New Roman" w:hAnsi="Times New Roman" w:cs="Times New Roman"/>
          <w:b w:val="0"/>
          <w:bCs w:val="0"/>
          <w:i/>
          <w:iCs/>
          <w:smallCaps w:val="0"/>
          <w:strike w:val="0"/>
          <w:color w:val="000000"/>
          <w:sz w:val="24"/>
          <w:szCs w:val="24"/>
          <w:u w:val="none"/>
          <w:shd w:val="clear" w:color="auto" w:fill="auto"/>
          <w:vertAlign w:val="baseline"/>
        </w:rPr>
      </w:r>
      <w:r>
        <w:rPr>
          <w:rFonts w:ascii="Times New Roman" w:hAnsi="Times New Roman" w:cs="Times New Roman"/>
          <w:b w:val="0"/>
          <w:bCs w:val="0"/>
          <w:i/>
          <w:iCs/>
          <w:smallCaps w:val="0"/>
          <w:strike w:val="0"/>
          <w:color w:val="000000"/>
          <w:sz w:val="24"/>
          <w:szCs w:val="24"/>
          <w:u w:val="none"/>
          <w:shd w:val="clear" w:color="auto" w:fill="auto"/>
          <w:vertAlign w:val="baseline"/>
        </w:rPr>
      </w:r>
    </w:p>
    <w:p w14:paraId="000001DD">
      <w:pPr>
        <w:pStyle w:val="891"/>
        <w:pBdr/>
        <w:shd w:val="clear" w:color="auto" w:fill="auto"/>
        <w:spacing/>
        <w:ind/>
        <w:jc w:val="both"/>
        <w:rPr>
          <w:rFonts w:ascii="Times New Roman" w:hAnsi="Times New Roman" w:cs="Times New Roman"/>
          <w:color w:val="000000"/>
        </w:rPr>
      </w:pPr>
      <w:r>
        <w:rPr>
          <w:rFonts w:ascii="Times New Roman" w:hAnsi="Times New Roman" w:eastAsia="Times New Roman" w:cs="Times New Roman"/>
          <w:rtl w:val="0"/>
        </w:rPr>
      </w:r>
      <w:r>
        <w:rPr>
          <w:rFonts w:ascii="Times New Roman" w:hAnsi="Times New Roman" w:cs="Times New Roman"/>
          <w:color w:val="000000"/>
        </w:rPr>
      </w:r>
      <w:r>
        <w:rPr>
          <w:rFonts w:ascii="Times New Roman" w:hAnsi="Times New Roman" w:cs="Times New Roman"/>
          <w:color w:val="000000"/>
        </w:rPr>
      </w:r>
    </w:p>
    <w:p w14:paraId="000001DE">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3.7 Genotype Performance and Stability Analysis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1DF">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In figure 17 , the left side shows the AMMI biplot separating the overall differences into genetic effects and patterns of interactions represented by IPCA1 and IPCA2 . This arrangement allows you to see the average resu</w:t>
      </w:r>
      <w:r>
        <w:rPr>
          <w:rFonts w:ascii="Times New Roman" w:hAnsi="Times New Roman" w:eastAsia="Times New Roman" w:cs="Times New Roman"/>
          <w:rtl w:val="0"/>
        </w:rPr>
        <w:t xml:space="preserve">lts and how stable each type is across places . Varieties in the middle of that plot are pretty insensitive to changes in the environment and tend to be more like all-round performers. G63 and G71 are near the average line with small swings in IPCA values </w:t>
      </w:r>
      <w:r>
        <w:rPr>
          <w:rFonts w:ascii="Times New Roman" w:hAnsi="Times New Roman" w:eastAsia="Times New Roman" w:cs="Times New Roman"/>
          <w:rtl w:val="0"/>
        </w:rPr>
        <w:t xml:space="preserve">[17], [5] and decent yields with little fluctuation, which is consistent with their low stability risk numbers of 187.72 and 171.30 as seen in Table 4. Furthermore, G39 and G17 are far along the IPCA1 direction, with the largest stability indices (651.88 a</w:t>
      </w:r>
      <w:r>
        <w:rPr>
          <w:rFonts w:ascii="Times New Roman" w:hAnsi="Times New Roman" w:eastAsia="Times New Roman" w:cs="Times New Roman"/>
          <w:rtl w:val="0"/>
        </w:rPr>
        <w:t xml:space="preserve">nd 635.09), suggesting that they are only active under specific conditions and not active broadly. G21 is the middle path with an ASV of 445.98 and an average of 1,437.97 kg/hectare and may be better suited to areas with plentiful resources, like Shyampur.</w:t>
      </w:r>
      <w:r>
        <w:rPr>
          <w:rFonts w:ascii="Times New Roman" w:hAnsi="Times New Roman" w:cs="Times New Roman"/>
          <w:shd w:val="clear" w:color="auto" w:fill="auto"/>
        </w:rPr>
      </w:r>
      <w:r>
        <w:rPr>
          <w:rFonts w:ascii="Times New Roman" w:hAnsi="Times New Roman" w:cs="Times New Roman"/>
          <w:shd w:val="clear" w:color="auto" w:fill="auto"/>
        </w:rPr>
      </w:r>
    </w:p>
    <w:p w14:paraId="000001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5772148" cy="213823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23"/>
                        <a:srcRect l="0" t="0" r="0" b="0"/>
                        <a:stretch/>
                      </pic:blipFill>
                      <pic:spPr bwMode="auto">
                        <a:xfrm>
                          <a:off x="0" y="0"/>
                          <a:ext cx="5772148" cy="213823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4.50pt;height:168.36pt;mso-wrap-distance-left:0.00pt;mso-wrap-distance-top:0.00pt;mso-wrap-distance-right:0.00pt;mso-wrap-distance-bottom:0.00pt;z-index:1;">
                <v:imagedata r:id="rId23"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1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shd w:val="clear" w:color="auto" w:fill="auto"/>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15: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Stability analysis biplots. Left: AMMI biplot (IPCA1 vs. IPCA2) with genotypes (blue circles) and environments (red triangles). Right: GGE biplot (PC1 vs. PC2) showing environment–genotype affinities.</w:t>
      </w:r>
      <w:r>
        <w:rPr>
          <w:rFonts w:ascii="Times New Roman" w:hAnsi="Times New Roman" w:cs="Times New Roman"/>
          <w:b w:val="0"/>
          <w:bCs w:val="0"/>
          <w:shd w:val="clear" w:color="auto" w:fill="auto"/>
        </w:rPr>
      </w:r>
      <w:r>
        <w:rPr>
          <w:rFonts w:ascii="Times New Roman" w:hAnsi="Times New Roman" w:cs="Times New Roman"/>
          <w:b w:val="0"/>
          <w:bCs w:val="0"/>
          <w:shd w:val="clear" w:color="auto" w:fill="auto"/>
        </w:rPr>
      </w:r>
    </w:p>
    <w:p w14:paraId="000001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bCs/>
          <w:shd w:val="clear" w:color="auto" w:fill="auto"/>
        </w:rPr>
      </w:pPr>
      <w:r>
        <w:rPr>
          <w:rFonts w:ascii="Times New Roman" w:hAnsi="Times New Roman" w:eastAsia="Times New Roman" w:cs="Times New Roman"/>
          <w:rtl w:val="0"/>
        </w:rPr>
      </w:r>
      <w:r>
        <w:rPr>
          <w:rFonts w:ascii="Times New Roman" w:hAnsi="Times New Roman" w:cs="Times New Roman"/>
          <w:b/>
          <w:bCs/>
          <w:shd w:val="clear" w:color="auto" w:fill="auto"/>
        </w:rPr>
      </w:r>
      <w:r>
        <w:rPr>
          <w:rFonts w:ascii="Times New Roman" w:hAnsi="Times New Roman" w:cs="Times New Roman"/>
          <w:b/>
          <w:bCs/>
          <w:shd w:val="clear" w:color="auto" w:fill="auto"/>
        </w:rPr>
      </w:r>
    </w:p>
    <w:p w14:paraId="000001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bCs/>
          <w:shd w:val="clear" w:color="auto" w:fill="auto"/>
        </w:rPr>
      </w:pPr>
      <w:r>
        <w:rPr>
          <w:rFonts w:ascii="Times New Roman" w:hAnsi="Times New Roman" w:eastAsia="Times New Roman" w:cs="Times New Roman"/>
          <w:rtl w:val="0"/>
        </w:rPr>
      </w:r>
      <w:r>
        <w:rPr>
          <w:rFonts w:ascii="Times New Roman" w:hAnsi="Times New Roman" w:cs="Times New Roman"/>
          <w:b/>
          <w:bCs/>
          <w:shd w:val="clear" w:color="auto" w:fill="auto"/>
        </w:rPr>
      </w:r>
      <w:r>
        <w:rPr>
          <w:rFonts w:ascii="Times New Roman" w:hAnsi="Times New Roman" w:cs="Times New Roman"/>
          <w:b/>
          <w:bCs/>
          <w:shd w:val="clear" w:color="auto" w:fill="auto"/>
        </w:rPr>
      </w:r>
    </w:p>
    <w:p w14:paraId="000001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Table 4: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Integrated genotype ranking. Lower ASV = greater cross-environment stability. OverallRank = (YieldRank + StabilityRank) / 2.</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bl>
      <w:tblPr>
        <w:tblStyle w:val="901"/>
        <w:tblInd w:w="-14" w:type="dxa"/>
        <w:tblW w:w="949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Pr>
      <w:tblGrid>
        <w:gridCol w:w="1021"/>
        <w:gridCol w:w="1106"/>
        <w:gridCol w:w="1276"/>
        <w:gridCol w:w="992"/>
        <w:gridCol w:w="1134"/>
        <w:gridCol w:w="1134"/>
        <w:gridCol w:w="2835"/>
        <w:tblGridChange w:id="3">
          <w:tblGrid>
            <w:gridCol w:w="1021"/>
            <w:gridCol w:w="1106"/>
            <w:gridCol w:w="1276"/>
            <w:gridCol w:w="992"/>
            <w:gridCol w:w="1134"/>
            <w:gridCol w:w="1134"/>
            <w:gridCol w:w="2835"/>
          </w:tblGrid>
        </w:tblGridChange>
      </w:tblGrid>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1E5">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Genotype</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Mean Yield (kg/ha)</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7">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ASV (Stability)</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Yield Rank</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9">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Stability Rank</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A">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Overall Rank</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Classification</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1EC">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G63</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1679.23</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E">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187.72</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0">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1">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1F2">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High performing &amp; High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1F3">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G71</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4">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1652.37</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5">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171.30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3.0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7">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1F9">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High performing &amp; High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1FA">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G49</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1682.28</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C">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342.73</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E">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4.0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2.5</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00">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High performing &amp; Moderate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01">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G21</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2">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1437.97</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3">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445.98</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4">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4.0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5">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5.0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07">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Moderate performing &amp; Moderate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0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G43</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9">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1128.15</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A">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206.12</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9.0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C">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3.0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0E">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Low performing &amp; High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0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G1</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0">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1234.78</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1">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392.84</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2">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7.0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3">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5.0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4">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15">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Moderate performing &amp; Moderate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1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G73</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7">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1278.60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475.31</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9">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A">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7.0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6.5</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1C">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Moderate </w:t>
            </w:r>
            <w:r>
              <w:rPr>
                <w:rFonts w:ascii="Times New Roman" w:hAnsi="Times New Roman" w:eastAsia="Times New Roman" w:cs="Times New Roman"/>
                <w:sz w:val="18"/>
                <w:szCs w:val="18"/>
                <w:rtl w:val="0"/>
              </w:rPr>
              <w:t xml:space="preserve">performance</w:t>
            </w:r>
            <w:r>
              <w:rPr>
                <w:rFonts w:ascii="Times New Roman" w:hAnsi="Times New Roman" w:eastAsia="Times New Roman" w:cs="Times New Roman"/>
                <w:b w:val="0"/>
                <w:bCs w:val="0"/>
                <w:color w:val="000000"/>
                <w:sz w:val="18"/>
                <w:szCs w:val="18"/>
                <w:shd w:val="clear" w:color="auto" w:fill="auto"/>
                <w:rtl w:val="0"/>
              </w:rPr>
              <w:t xml:space="preserve"> &amp; Low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1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G41</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E">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1319.91</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542.26</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0">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5.0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1">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8.0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2">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6.5</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23">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Moderate </w:t>
            </w:r>
            <w:r>
              <w:rPr>
                <w:rFonts w:ascii="Times New Roman" w:hAnsi="Times New Roman" w:eastAsia="Times New Roman" w:cs="Times New Roman"/>
                <w:sz w:val="18"/>
                <w:szCs w:val="18"/>
                <w:rtl w:val="0"/>
              </w:rPr>
              <w:t xml:space="preserve">performance</w:t>
            </w:r>
            <w:r>
              <w:rPr>
                <w:rFonts w:ascii="Times New Roman" w:hAnsi="Times New Roman" w:eastAsia="Times New Roman" w:cs="Times New Roman"/>
                <w:b w:val="0"/>
                <w:bCs w:val="0"/>
                <w:color w:val="000000"/>
                <w:sz w:val="18"/>
                <w:szCs w:val="18"/>
                <w:shd w:val="clear" w:color="auto" w:fill="auto"/>
                <w:rtl w:val="0"/>
              </w:rPr>
              <w:t xml:space="preserve"> &amp; Low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24">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G39</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5">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1207.26</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651.88</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7">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8.0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9">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9.0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2A">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Low performing &amp; Low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2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G17</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C">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1057.15</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635.09</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E">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9.0</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30">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9.5</w:t>
            </w:r>
            <w:r>
              <w:rPr>
                <w:rFonts w:ascii="Times New Roman" w:hAnsi="Times New Roman" w:cs="Times New Roman"/>
                <w:color w:val="000000"/>
                <w:sz w:val="18"/>
                <w:szCs w:val="18"/>
                <w:shd w:val="clear" w:color="auto" w:fill="auto"/>
              </w:rPr>
            </w:r>
            <w:r>
              <w:rPr>
                <w:rFonts w:ascii="Times New Roman" w:hAnsi="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31">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Low performing &amp; Low stability</w:t>
            </w:r>
            <w:r>
              <w:rPr>
                <w:rFonts w:ascii="Times New Roman" w:hAnsi="Times New Roman" w:cs="Times New Roman"/>
                <w:b w:val="0"/>
                <w:bCs w:val="0"/>
                <w:color w:val="000000"/>
                <w:sz w:val="18"/>
                <w:szCs w:val="18"/>
                <w:shd w:val="clear" w:color="auto" w:fill="auto"/>
              </w:rPr>
            </w:r>
            <w:r>
              <w:rPr>
                <w:rFonts w:ascii="Times New Roman" w:hAnsi="Times New Roman" w:cs="Times New Roman"/>
                <w:b w:val="0"/>
                <w:bCs w:val="0"/>
                <w:color w:val="000000"/>
                <w:sz w:val="18"/>
                <w:szCs w:val="18"/>
                <w:shd w:val="clear" w:color="auto" w:fill="auto"/>
              </w:rPr>
            </w:r>
          </w:p>
        </w:tc>
      </w:tr>
    </w:tbl>
    <w:p w14:paraId="000002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vertAlign w:val="baseline"/>
        </w:rPr>
      </w:pPr>
      <w:r>
        <w:rPr>
          <w:rFonts w:ascii="Times New Roman" w:hAnsi="Times New Roman" w:eastAsia="Times New Roman" w:cs="Times New Roman"/>
          <w:rtl w:val="0"/>
        </w:rPr>
      </w:r>
      <w:r>
        <w:rPr>
          <w:rFonts w:ascii="Times New Roman" w:hAnsi="Times New Roman" w:cs="Times New Roman"/>
          <w:b w:val="0"/>
          <w:bCs w:val="0"/>
          <w:i w:val="0"/>
          <w:iCs w:val="0"/>
          <w:smallCaps w:val="0"/>
          <w:strike w:val="0"/>
          <w:color w:val="000000"/>
          <w:sz w:val="24"/>
          <w:szCs w:val="24"/>
          <w:u w:val="none"/>
          <w:vertAlign w:val="baseline"/>
        </w:rPr>
      </w:r>
      <w:r>
        <w:rPr>
          <w:rFonts w:ascii="Times New Roman" w:hAnsi="Times New Roman" w:cs="Times New Roman"/>
          <w:b w:val="0"/>
          <w:bCs w:val="0"/>
          <w:i w:val="0"/>
          <w:iCs w:val="0"/>
          <w:smallCaps w:val="0"/>
          <w:strike w:val="0"/>
          <w:color w:val="000000"/>
          <w:sz w:val="24"/>
          <w:szCs w:val="24"/>
          <w:u w:val="none"/>
          <w:vertAlign w:val="baseline"/>
        </w:rPr>
      </w:r>
    </w:p>
    <w:p w14:paraId="00000233">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The GGE biplot in the right panel of Figure 15 illustrated the overall pe</w:t>
      </w:r>
      <w:r>
        <w:rPr>
          <w:rFonts w:ascii="Times New Roman" w:hAnsi="Times New Roman" w:eastAsia="Times New Roman" w:cs="Times New Roman"/>
          <w:rtl w:val="0"/>
        </w:rPr>
        <w:t xml:space="preserve">rformance of each variety and the shifts caused by different test sites. Instead of just listing numbers, it drew a star-shaped pattern showing where certain types won under certain conditions. The six major varieties G73, G21, G71, G49, G39, and G17 were </w:t>
      </w:r>
      <w:r>
        <w:rPr>
          <w:rFonts w:ascii="Times New Roman" w:hAnsi="Times New Roman" w:eastAsia="Times New Roman" w:cs="Times New Roman"/>
          <w:rtl w:val="0"/>
        </w:rPr>
        <w:t xml:space="preserve">located at the vertices of that shape. G17 and G39 were at the external vertices due to their strong PC1 and PC2 values. Lines radiated from the center to five test locations, L1 through L5, but these merged into two separate wedges, like pie slices separa</w:t>
      </w:r>
      <w:r>
        <w:rPr>
          <w:rFonts w:ascii="Times New Roman" w:hAnsi="Times New Roman" w:eastAsia="Times New Roman" w:cs="Times New Roman"/>
          <w:rtl w:val="0"/>
        </w:rPr>
        <w:t xml:space="preserve">ting groups of locations. L1, L3, and part of L4 tended to one cluster on top, preferring G21 and G71 over the others. Meanwhile, L2 and some overlap from L4 settled down near the bottom right, with G49 pulling ahead and G63 showing stronger results. Winne</w:t>
      </w:r>
      <w:r>
        <w:rPr>
          <w:rFonts w:ascii="Times New Roman" w:hAnsi="Times New Roman" w:eastAsia="Times New Roman" w:cs="Times New Roman"/>
          <w:rtl w:val="0"/>
        </w:rPr>
        <w:t xml:space="preserve">rs varied by site, and no one type was best across all five areas. This changing result illustrated how much a growing place shapes performance, proving that gene-by-environment interaction wasn’t just random noise; it formed clear patterns worth tracking.</w:t>
      </w:r>
      <w:r>
        <w:rPr>
          <w:rFonts w:ascii="Times New Roman" w:hAnsi="Times New Roman" w:cs="Times New Roman"/>
        </w:rPr>
      </w:r>
      <w:r>
        <w:rPr>
          <w:rFonts w:ascii="Times New Roman" w:hAnsi="Times New Roman" w:cs="Times New Roman"/>
        </w:rPr>
      </w:r>
    </w:p>
    <w:p w14:paraId="00000234">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3.8 GGE Biplot: Which-Won-Where Pattern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35">
      <w:pPr>
        <w:keepNext w:val="true"/>
        <w:pBdr>
          <w:top w:val="none" w:color="000000" w:sz="0" w:space="0"/>
          <w:left w:val="none" w:color="000000" w:sz="0" w:space="0"/>
          <w:bottom w:val="none" w:color="000000" w:sz="0" w:space="0"/>
          <w:right w:val="none" w:color="000000" w:sz="0" w:space="0"/>
          <w:between w:val="none" w:color="000000" w:sz="0" w:space="0"/>
        </w:pBdr>
        <w:spacing w:after="240" w:before="240"/>
        <w:ind/>
        <w:rPr>
          <w:rFonts w:ascii="Times New Roman" w:hAnsi="Times New Roman" w:cs="Times New Roman"/>
        </w:rPr>
      </w:pPr>
      <w:r>
        <w:rPr>
          <w:rFonts w:ascii="Times New Roman" w:hAnsi="Times New Roman" w:eastAsia="Times New Roman" w:cs="Times New Roman"/>
          <w:rtl w:val="0"/>
        </w:rPr>
        <w:t xml:space="preserve">G71 was the most consistent</w:t>
      </w:r>
      <w:r>
        <w:rPr>
          <w:rFonts w:ascii="Times New Roman" w:hAnsi="Times New Roman" w:eastAsia="Times New Roman" w:cs="Times New Roman"/>
          <w:rtl w:val="0"/>
        </w:rPr>
        <w:t xml:space="preserve"> with an ASV of 171.30 and third for average output at 1,652.37 kg per hectare, which earned it a total score of 2.0, a tie with G63. Rated second best in stability with an ASV of 187.72, G63 came in just above with 1,679.23 kg per hectare on average, also</w:t>
      </w:r>
      <w:r>
        <w:rPr>
          <w:rFonts w:ascii="Times New Roman" w:hAnsi="Times New Roman" w:eastAsia="Times New Roman" w:cs="Times New Roman"/>
          <w:rtl w:val="0"/>
        </w:rPr>
        <w:t xml:space="preserve"> reaching a combined position of 2.0. G49 produced the highest harvest at 1,682.28 kg per hectare across sites, but was less consistent with an ASV of 342.73, resulting in a reliability rank of 4th and a final score of 2.5. So it appears that these three, </w:t>
      </w:r>
      <w:r>
        <w:rPr>
          <w:rFonts w:ascii="Times New Roman" w:hAnsi="Times New Roman" w:eastAsia="Times New Roman" w:cs="Times New Roman"/>
          <w:rtl w:val="0"/>
        </w:rPr>
        <w:t xml:space="preserve">G49, G63, and G71, were the standout performers when grown under different dry trial conditions here, giving good results without much loss of adjustment ability. On the other end, G17 was at the bottom with an average of 9.5, due to poor averages coupled </w:t>
      </w:r>
      <w:r>
        <w:rPr>
          <w:rFonts w:ascii="Times New Roman" w:hAnsi="Times New Roman" w:eastAsia="Times New Roman" w:cs="Times New Roman"/>
          <w:rtl w:val="0"/>
        </w:rPr>
        <w:t xml:space="preserve">with erratic responses in locations, putting it at the bottom of the list. Similarly, G39 was at the bottom with an average of 9.0 due to poor yields and erratic responses, ruling it out for wide-scale use around Rajshahi [18], [4].Visualized in figure 18.</w:t>
      </w:r>
      <w:r>
        <w:rPr>
          <w:rFonts w:ascii="Times New Roman" w:hAnsi="Times New Roman" w:cs="Times New Roman"/>
        </w:rPr>
      </w:r>
      <w:r>
        <w:rPr>
          <w:rFonts w:ascii="Times New Roman" w:hAnsi="Times New Roman" w:cs="Times New Roman"/>
        </w:rPr>
      </w:r>
    </w:p>
    <w:p w14:paraId="00000236">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237">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3739072" cy="306553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24"/>
                        <a:srcRect l="0" t="0" r="0" b="0"/>
                        <a:stretch/>
                      </pic:blipFill>
                      <pic:spPr bwMode="auto">
                        <a:xfrm>
                          <a:off x="0" y="0"/>
                          <a:ext cx="3739072" cy="306553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94.42pt;height:241.38pt;mso-wrap-distance-left:0.00pt;mso-wrap-distance-top:0.00pt;mso-wrap-distance-right:0.00pt;mso-wrap-distance-bottom:0.00pt;z-index:1;">
                <v:imagedata r:id="rId24"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2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shd w:val="clear" w:color="auto" w:fill="auto"/>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Figure 16. </w:t>
      </w:r>
      <w:r>
        <w:rPr>
          <w:rFonts w:ascii="Times New Roman" w:hAnsi="Times New Roman" w:eastAsia="Times New Roman" w:cs="Times New Roman"/>
          <w:i/>
          <w:iCs/>
          <w:rtl w:val="0"/>
        </w:rPr>
        <w:t xml:space="preserve">GGE biplot: which-won-where polygon pattern. Sector 1:</w:t>
      </w:r>
      <w:r>
        <w:rPr>
          <w:rFonts w:ascii="Times New Roman" w:hAnsi="Times New Roman" w:eastAsia="Times New Roman" w:cs="Times New Roman"/>
          <w:i/>
          <w:iCs/>
          <w:rtl w:val="0"/>
        </w:rPr>
        <w:t xml:space="preserve"> G71 wins at L1 and L4; Sector 2: G21/G73 win at L3; Sector 3: G39 wins at the lower-sector environment; Sector 4: G17 wins at the left-sector environment. Genotype G41 located near the origin indicates comparatively stable performance across environments.</w:t>
      </w:r>
      <w:r>
        <w:rPr>
          <w:rFonts w:ascii="Times New Roman" w:hAnsi="Times New Roman" w:cs="Times New Roman"/>
          <w:shd w:val="clear" w:color="auto" w:fill="auto"/>
        </w:rPr>
      </w:r>
      <w:r>
        <w:rPr>
          <w:rFonts w:ascii="Times New Roman" w:hAnsi="Times New Roman" w:cs="Times New Roman"/>
          <w:shd w:val="clear" w:color="auto" w:fill="auto"/>
        </w:rPr>
      </w:r>
    </w:p>
    <w:p w14:paraId="000002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bCs/>
          <w:i/>
          <w:iCs/>
          <w:smallCaps w:val="0"/>
          <w:strike w:val="0"/>
          <w:color w:val="000000"/>
          <w:sz w:val="28"/>
          <w:szCs w:val="28"/>
          <w:u w:val="none"/>
          <w:vertAlign w:val="baseline"/>
        </w:rPr>
      </w:pPr>
      <w:r>
        <w:rPr>
          <w:rFonts w:ascii="Times New Roman" w:hAnsi="Times New Roman" w:eastAsia="Times New Roman" w:cs="Times New Roman"/>
          <w:b/>
          <w:bCs/>
          <w:color w:val="000000"/>
          <w:sz w:val="28"/>
          <w:szCs w:val="28"/>
          <w:shd w:val="clear" w:color="auto" w:fill="auto"/>
          <w:rtl w:val="0"/>
        </w:rPr>
        <w:t xml:space="preserve">3.9 Location Performance Analysis</w:t>
      </w:r>
      <w:r>
        <w:rPr>
          <w:rFonts w:ascii="Times New Roman" w:hAnsi="Times New Roman" w:cs="Times New Roman"/>
          <w:b/>
          <w:bCs/>
          <w:i/>
          <w:iCs/>
          <w:smallCaps w:val="0"/>
          <w:strike w:val="0"/>
          <w:color w:val="000000"/>
          <w:sz w:val="28"/>
          <w:szCs w:val="28"/>
          <w:u w:val="none"/>
          <w:vertAlign w:val="baseline"/>
        </w:rPr>
      </w:r>
      <w:r>
        <w:rPr>
          <w:rFonts w:ascii="Times New Roman" w:hAnsi="Times New Roman" w:cs="Times New Roman"/>
          <w:b/>
          <w:bCs/>
          <w:i/>
          <w:iCs/>
          <w:smallCaps w:val="0"/>
          <w:strike w:val="0"/>
          <w:color w:val="000000"/>
          <w:sz w:val="28"/>
          <w:szCs w:val="28"/>
          <w:u w:val="none"/>
          <w:vertAlign w:val="baseline"/>
        </w:rPr>
      </w:r>
    </w:p>
    <w:p w14:paraId="000002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iCs/>
          <w:smallCaps w:val="0"/>
          <w:strike w:val="0"/>
          <w:color w:val="000000"/>
          <w:sz w:val="24"/>
          <w:szCs w:val="24"/>
          <w:u w:val="none"/>
          <w:vertAlign w:val="baseline"/>
        </w:rPr>
      </w:pPr>
      <w:r>
        <w:rPr>
          <w:rFonts w:ascii="Times New Roman" w:hAnsi="Times New Roman" w:eastAsia="Times New Roman" w:cs="Times New Roman"/>
          <w:rtl w:val="0"/>
        </w:rPr>
        <w:t xml:space="preserve">The growth of ten varieties of lentils is shown in Figure 17 at five locations near Rajshahi, Bangla</w:t>
      </w:r>
      <w:r>
        <w:rPr>
          <w:rFonts w:ascii="Times New Roman" w:hAnsi="Times New Roman" w:eastAsia="Times New Roman" w:cs="Times New Roman"/>
          <w:rtl w:val="0"/>
        </w:rPr>
        <w:t xml:space="preserve">desh: Bashontopur (L1), Shyampur (L2), Nachole (L3), Sapaher (L4), and Lalpur (L5) based on the color schemes derived from actual harvest figures per hectare. G63 gave the most grain, 2,113 kilograms per hectare at L2, but G39 gave only 770 at L3. Clearly,</w:t>
      </w:r>
      <w:r>
        <w:rPr>
          <w:rFonts w:ascii="Times New Roman" w:hAnsi="Times New Roman" w:eastAsia="Times New Roman" w:cs="Times New Roman"/>
          <w:rtl w:val="0"/>
        </w:rPr>
        <w:t xml:space="preserve"> different crops behave differently depending on where they grow. Shyampur was notable with an average of about 1,709 kg per hectare, its results widely dispersed by ±318 kg, indicating strong variation between individual plots there. Then came Lalpur, whi</w:t>
      </w:r>
      <w:r>
        <w:rPr>
          <w:rFonts w:ascii="Times New Roman" w:hAnsi="Times New Roman" w:eastAsia="Times New Roman" w:cs="Times New Roman"/>
          <w:rtl w:val="0"/>
        </w:rPr>
        <w:t xml:space="preserve">ch pulled just above 1,370, and Sapaher came close to that at almost 1,362. But under all of them sat Nachole, pulling a division bottom mark near 1,169, perhaps because of stiffer growing challenges such as a stronger lack of water. The top two from the b</w:t>
      </w:r>
      <w:r>
        <w:rPr>
          <w:rFonts w:ascii="Times New Roman" w:hAnsi="Times New Roman" w:eastAsia="Times New Roman" w:cs="Times New Roman"/>
          <w:rtl w:val="0"/>
        </w:rPr>
        <w:t xml:space="preserve">est locations, G49 and G63, had their own stories to tell. At L2, G49 gave 2,025 kg per hectare. Later, at L5, it gave 1,928. Then there’s the G63, even higher with 2,113 at L2, plus strong figures elsewhere: 1,518 at L4 and then 1,816 back at L5. Now look</w:t>
      </w:r>
      <w:r>
        <w:rPr>
          <w:rFonts w:ascii="Times New Roman" w:hAnsi="Times New Roman" w:eastAsia="Times New Roman" w:cs="Times New Roman"/>
          <w:rtl w:val="0"/>
        </w:rPr>
        <w:t xml:space="preserve"> at G17 and G39; they were behind most of the others on average. G17 just grazed the 1057 kg per hectare mark across sites, and G39 just over 1207. The heatmap colors helped to show what words might be missing, the hot zones for output clustered closely ar</w:t>
      </w:r>
      <w:r>
        <w:rPr>
          <w:rFonts w:ascii="Times New Roman" w:hAnsi="Times New Roman" w:eastAsia="Times New Roman" w:cs="Times New Roman"/>
          <w:rtl w:val="0"/>
        </w:rPr>
        <w:t xml:space="preserve">ound G49, G63 and also G71, especially around Shyampur and Lalpur. On the other hand, bad results piled up where G17 and G43 appeared again and again, at Nachole. Out of these trends came something useful: a basis for more number crunching and forecasting.</w:t>
      </w:r>
      <w:r>
        <w:rPr>
          <w:rFonts w:ascii="Times New Roman" w:hAnsi="Times New Roman" w:cs="Times New Roman"/>
          <w:b w:val="0"/>
          <w:bCs w:val="0"/>
          <w:i/>
          <w:iCs/>
          <w:smallCaps w:val="0"/>
          <w:strike w:val="0"/>
          <w:color w:val="000000"/>
          <w:sz w:val="24"/>
          <w:szCs w:val="24"/>
          <w:u w:val="none"/>
          <w:vertAlign w:val="baseline"/>
        </w:rPr>
      </w:r>
      <w:r>
        <w:rPr>
          <w:rFonts w:ascii="Times New Roman" w:hAnsi="Times New Roman" w:cs="Times New Roman"/>
          <w:b w:val="0"/>
          <w:bCs w:val="0"/>
          <w:i/>
          <w:iCs/>
          <w:smallCaps w:val="0"/>
          <w:strike w:val="0"/>
          <w:color w:val="000000"/>
          <w:sz w:val="24"/>
          <w:szCs w:val="24"/>
          <w:u w:val="none"/>
          <w:vertAlign w:val="baseline"/>
        </w:rPr>
      </w:r>
    </w:p>
    <w:p w14:paraId="0000023B">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4824519" cy="3706261"/>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5"/>
                        <a:srcRect l="0" t="0" r="0" b="0"/>
                        <a:stretch/>
                      </pic:blipFill>
                      <pic:spPr bwMode="auto">
                        <a:xfrm>
                          <a:off x="0" y="0"/>
                          <a:ext cx="4824519" cy="370626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79.88pt;height:291.83pt;mso-wrap-distance-left:0.00pt;mso-wrap-distance-top:0.00pt;mso-wrap-distance-right:0.00pt;mso-wrap-distance-bottom:0.00pt;z-index:1;">
                <v:imagedata r:id="rId25" o:title="" croptop="0f" cropleft="0f" cropbottom="0f" cropright="0f"/>
                <o:lock v:ext="edit" rotation="t"/>
              </v:shape>
            </w:pict>
          </mc:Fallback>
        </mc:AlternateConten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2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17: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Genotype × Location yield heatmap (kg/ha). Dark red = highest yields; yellow = lowest. G63 at Shyampur (2,113 kg/ha) is the highest </w:t>
      </w:r>
      <w:r>
        <w:rPr>
          <w:rFonts w:ascii="Times New Roman" w:hAnsi="Times New Roman" w:eastAsia="Times New Roman" w:cs="Times New Roman"/>
          <w:i/>
          <w:iCs/>
          <w:rtl w:val="0"/>
        </w:rPr>
        <w:t xml:space="preserve">yield,</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and G39 at Nachole (770 kg/ha) </w:t>
      </w:r>
      <w:r>
        <w:rPr>
          <w:rFonts w:ascii="Times New Roman" w:hAnsi="Times New Roman" w:eastAsia="Times New Roman" w:cs="Times New Roman"/>
          <w:i/>
          <w:iCs/>
          <w:rtl w:val="0"/>
        </w:rPr>
        <w:t xml:space="preserve">represents</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the lowest yield.</w:t>
      </w:r>
      <w:r>
        <w:rPr>
          <w:rFonts w:ascii="Times New Roman" w:hAnsi="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p w14:paraId="0000023D">
      <w:pPr>
        <w:pStyle w:val="890"/>
        <w:pBdr/>
        <w:shd w:val="clear" w:color="auto" w:fill="auto"/>
        <w:spacing/>
        <w:ind/>
        <w:rPr>
          <w:rFonts w:ascii="Times New Roman" w:hAnsi="Times New Roman" w:cs="Times New Roman"/>
          <w:b w:val="0"/>
          <w:bCs w:val="0"/>
          <w:color w:val="000000"/>
          <w:shd w:val="clear" w:color="auto" w:fill="auto"/>
        </w:rPr>
      </w:pPr>
      <w:r>
        <w:rPr>
          <w:rFonts w:ascii="Times New Roman" w:hAnsi="Times New Roman" w:eastAsia="Times New Roman" w:cs="Times New Roman"/>
          <w:color w:val="000000"/>
          <w:rtl w:val="0"/>
        </w:rPr>
        <w:t xml:space="preserve">4. Discussion</w:t>
      </w:r>
      <w:r>
        <w:rPr>
          <w:rFonts w:ascii="Times New Roman" w:hAnsi="Times New Roman" w:cs="Times New Roman"/>
          <w:b w:val="0"/>
          <w:bCs w:val="0"/>
          <w:color w:val="000000"/>
          <w:shd w:val="clear" w:color="auto" w:fill="auto"/>
        </w:rPr>
      </w:r>
      <w:r>
        <w:rPr>
          <w:rFonts w:ascii="Times New Roman" w:hAnsi="Times New Roman" w:cs="Times New Roman"/>
          <w:b w:val="0"/>
          <w:bCs w:val="0"/>
          <w:color w:val="000000"/>
          <w:shd w:val="clear" w:color="auto" w:fill="auto"/>
        </w:rPr>
      </w:r>
    </w:p>
    <w:p w14:paraId="0000023E">
      <w:pPr>
        <w:pBdr/>
        <w:spacing/>
        <w:ind/>
        <w:jc w:val="both"/>
        <w:rPr>
          <w:rFonts w:ascii="Times New Roman" w:hAnsi="Times New Roman" w:cs="Times New Roman"/>
          <w:sz w:val="20"/>
          <w:szCs w:val="20"/>
        </w:rPr>
      </w:pPr>
      <w:r>
        <w:rPr>
          <w:rFonts w:ascii="Times New Roman" w:hAnsi="Times New Roman" w:eastAsia="Times New Roman" w:cs="Times New Roman"/>
          <w:rtl w:val="0"/>
        </w:rPr>
      </w:r>
      <w:r>
        <w:rPr>
          <w:rFonts w:ascii="Times New Roman" w:hAnsi="Times New Roman" w:cs="Times New Roman"/>
          <w:sz w:val="20"/>
          <w:szCs w:val="20"/>
        </w:rPr>
      </w:r>
      <w:r>
        <w:rPr>
          <w:rFonts w:ascii="Times New Roman" w:hAnsi="Times New Roman" w:cs="Times New Roman"/>
          <w:sz w:val="20"/>
          <w:szCs w:val="20"/>
        </w:rPr>
      </w:r>
    </w:p>
    <w:p w14:paraId="0000023F">
      <w:pPr>
        <w:pBdr>
          <w:top w:val="none" w:color="000000" w:sz="0" w:space="0"/>
          <w:left w:val="none" w:color="000000" w:sz="0" w:space="0"/>
          <w:bottom w:val="none" w:color="000000" w:sz="0" w:space="0"/>
          <w:right w:val="none" w:color="000000" w:sz="0" w:space="0"/>
        </w:pBdr>
        <w:spacing w:after="240" w:before="240" w:line="240" w:lineRule="auto"/>
        <w:ind w:right="0" w:firstLine="0" w:left="0"/>
        <w:jc w:val="both"/>
        <w:rPr>
          <w:rFonts w:ascii="Times New Roman" w:hAnsi="Times New Roman" w:cs="Times New Roman"/>
        </w:rPr>
      </w:pPr>
      <w:r>
        <w:rPr>
          <w:rFonts w:ascii="Times New Roman" w:hAnsi="Times New Roman" w:eastAsia="Times New Roman" w:cs="Times New Roman"/>
          <w:color w:val="000000"/>
          <w:sz w:val="24"/>
          <w:szCs w:val="24"/>
          <w:u w:val="none"/>
          <w:rtl w:val="0"/>
        </w:rPr>
        <w:t xml:space="preserve">In the small sample G×E setting, ridge regression outperformed nonlinear methods (XGBoost, RF, etc.) on real farm data while maintaining test R² close to training R² (0.8072, drift 0.0097) [6], [7] thanks to its shrinkage that reduced ove</w:t>
      </w:r>
      <w:r>
        <w:rPr>
          <w:rFonts w:ascii="Times New Roman" w:hAnsi="Times New Roman" w:eastAsia="Times New Roman" w:cs="Times New Roman"/>
          <w:color w:val="000000"/>
          <w:sz w:val="24"/>
          <w:szCs w:val="24"/>
          <w:u w:val="none"/>
          <w:rtl w:val="0"/>
        </w:rPr>
        <w:t xml:space="preserve">rfitting when features outnumber observations [8]. Random train/test splits with one-hot encoded location/genotype may boost holdout R² [31], [32]; thus, future leave-one-environment-out and leave-one-genotype-out validation is warranted [29], [30]. Manifo</w:t>
      </w:r>
      <w:r>
        <w:rPr>
          <w:rFonts w:ascii="Times New Roman" w:hAnsi="Times New Roman" w:eastAsia="Times New Roman" w:cs="Times New Roman"/>
          <w:color w:val="000000"/>
          <w:sz w:val="24"/>
          <w:szCs w:val="24"/>
          <w:u w:val="none"/>
          <w:rtl w:val="0"/>
        </w:rPr>
        <w:t xml:space="preserve">ld learning (UMAP/t-SNE) revealed hidden G×E topology [19]–[21], although location-based clustering may partly reflect categorical encodings rather than emergent agronomic structure [33], indicating traits-only embeddings as a sensitivity check. ML and agr</w:t>
      </w:r>
      <w:r>
        <w:rPr>
          <w:rFonts w:ascii="Times New Roman" w:hAnsi="Times New Roman" w:eastAsia="Times New Roman" w:cs="Times New Roman"/>
          <w:color w:val="000000"/>
          <w:sz w:val="24"/>
          <w:szCs w:val="24"/>
          <w:u w:val="none"/>
          <w:rtl w:val="0"/>
        </w:rPr>
        <w:t xml:space="preserve">onomy were linked by SHAP analysis with DF_BP_Interaction (flowering timing × branching) and TSW/BY as the main predictors in accordance with plant physiology in drought conditions [15], [16], [23], [25], [10], and [11]. The AMMI/GGE stability analysis rev</w:t>
      </w:r>
      <w:r>
        <w:rPr>
          <w:rFonts w:ascii="Times New Roman" w:hAnsi="Times New Roman" w:eastAsia="Times New Roman" w:cs="Times New Roman"/>
          <w:color w:val="000000"/>
          <w:sz w:val="24"/>
          <w:szCs w:val="24"/>
          <w:u w:val="none"/>
          <w:rtl w:val="0"/>
        </w:rPr>
        <w:t xml:space="preserve">ealed the genotypes with consistently high performance (G71 and G63) and the high-yielding but unstable lines (G49) for the breeding program in Bangladesh [17], [18], [5], [4]. Major limitations include single-region, single-year, single-crop scope and unm</w:t>
      </w:r>
      <w:r>
        <w:rPr>
          <w:rFonts w:ascii="Times New Roman" w:hAnsi="Times New Roman" w:eastAsia="Times New Roman" w:cs="Times New Roman"/>
          <w:color w:val="000000"/>
          <w:sz w:val="24"/>
          <w:szCs w:val="24"/>
          <w:u w:val="none"/>
          <w:rtl w:val="0"/>
        </w:rPr>
        <w:t xml:space="preserve">easured traits (e.g., canopy temperature). Future work should include mixed-model baselines (e.g., REML with pedigree/genomic relationships) [34], [35] and broaden validation to evaluate generalizability across legumes and environments. The current feature</w:t>
      </w:r>
      <w:r>
        <w:rPr>
          <w:rFonts w:ascii="Times New Roman" w:hAnsi="Times New Roman" w:eastAsia="Times New Roman" w:cs="Times New Roman"/>
          <w:color w:val="000000"/>
          <w:sz w:val="24"/>
          <w:szCs w:val="24"/>
          <w:u w:val="none"/>
          <w:rtl w:val="0"/>
        </w:rPr>
        <w:t xml:space="preserve"> set is biologically informed but does not account for dynamic physiological markers (e.g., root depth, stomatal conductance) that may better capture drought-response mechanisms. Also, the absence of pedigree or genomic relationship matrices limits the mod</w:t>
      </w:r>
      <w:r>
        <w:rPr>
          <w:rFonts w:ascii="Times New Roman" w:hAnsi="Times New Roman" w:eastAsia="Times New Roman" w:cs="Times New Roman"/>
          <w:color w:val="000000"/>
          <w:sz w:val="24"/>
          <w:szCs w:val="24"/>
          <w:u w:val="none"/>
          <w:rtl w:val="0"/>
        </w:rPr>
        <w:t xml:space="preserve">el’s ability to exploit genetic relatedness for better inference in small samples. In my opinion, the main value of this workflow is not to outperform complex ML but to make G×E patterns interpretable and actionable for breeders with limited data; I strong</w:t>
      </w:r>
      <w:r>
        <w:rPr>
          <w:rFonts w:ascii="Times New Roman" w:hAnsi="Times New Roman" w:eastAsia="Times New Roman" w:cs="Times New Roman"/>
          <w:color w:val="000000"/>
          <w:sz w:val="24"/>
          <w:szCs w:val="24"/>
          <w:u w:val="none"/>
          <w:rtl w:val="0"/>
        </w:rPr>
        <w:t xml:space="preserve">ly recommend that future applications prioritize group-aware validation and traits-only manifold checks to ensure findings reflect biology, not encoding artifacts, and that teams share engineered feature definitions openly to accelerate community learning.</w:t>
      </w:r>
      <w:r>
        <w:rPr>
          <w:rFonts w:ascii="Times New Roman" w:hAnsi="Times New Roman" w:cs="Times New Roman"/>
        </w:rPr>
      </w:r>
      <w:r>
        <w:rPr>
          <w:rFonts w:ascii="Times New Roman" w:hAnsi="Times New Roman" w:cs="Times New Roman"/>
        </w:rPr>
      </w:r>
    </w:p>
    <w:p w14:paraId="00000240">
      <w:pPr>
        <w:pStyle w:val="890"/>
        <w:pBdr/>
        <w:shd w:val="clear" w:color="auto" w:fill="auto"/>
        <w:spacing/>
        <w:ind/>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5. Conclusion</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1">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cs="Times New Roman"/>
        </w:rPr>
      </w:r>
      <w:r>
        <w:rPr>
          <w:rFonts w:ascii="Times New Roman" w:hAnsi="Times New Roman" w:cs="Times New Roman"/>
        </w:rPr>
      </w:r>
    </w:p>
    <w:p w14:paraId="00000242">
      <w:pPr>
        <w:pBdr/>
        <w:spacing/>
        <w:ind/>
        <w:jc w:val="both"/>
        <w:rPr>
          <w:rFonts w:ascii="Times New Roman" w:hAnsi="Times New Roman" w:cs="Times New Roman"/>
        </w:rPr>
      </w:pPr>
      <w:r>
        <w:rPr>
          <w:rFonts w:ascii="Times New Roman" w:hAnsi="Times New Roman" w:eastAsia="Times New Roman" w:cs="Times New Roman"/>
          <w:rtl w:val="0"/>
        </w:rPr>
        <w:t xml:space="preserve">The method uses basic math rules combined with plant-based data adjustments </w:t>
      </w:r>
      <w:r>
        <w:rPr>
          <w:rFonts w:ascii="Times New Roman" w:hAnsi="Times New Roman" w:eastAsia="Times New Roman" w:cs="Times New Roman"/>
          <w:rtl w:val="0"/>
        </w:rPr>
        <w:t xml:space="preserve">and shows it can predict lentil yields well on different farms in dry areas of Rajshahi, Bangladesh, from a hilltop vantage point. Ridge regression, a more straightforward model, outperformed complex systems in terms of performance on unseen data with an R</w:t>
      </w:r>
      <w:r>
        <w:rPr>
          <w:rFonts w:ascii="Times New Roman" w:hAnsi="Times New Roman" w:eastAsia="Times New Roman" w:cs="Times New Roman"/>
          <w:vertAlign w:val="superscript"/>
          <w:rtl w:val="0"/>
        </w:rPr>
        <w:t xml:space="preserve">2</w:t>
      </w:r>
      <w:r>
        <w:rPr>
          <w:rFonts w:ascii="Times New Roman" w:hAnsi="Times New Roman" w:eastAsia="Times New Roman" w:cs="Times New Roman"/>
          <w:rtl w:val="0"/>
        </w:rPr>
        <w:t xml:space="preserve"> value near 0.81 and an error slightly b</w:t>
      </w:r>
      <w:r>
        <w:rPr>
          <w:rFonts w:ascii="Times New Roman" w:hAnsi="Times New Roman" w:eastAsia="Times New Roman" w:cs="Times New Roman"/>
          <w:rtl w:val="0"/>
        </w:rPr>
        <w:t xml:space="preserve">elow 184 kilograms per hectare. Forests of decision trees, or combined learners, tried their best but failed when confronted with new plots, mainly because their training was confined to the scope of real-world growing trials. What really shone through was</w:t>
      </w:r>
      <w:r>
        <w:rPr>
          <w:rFonts w:ascii="Times New Roman" w:hAnsi="Times New Roman" w:eastAsia="Times New Roman" w:cs="Times New Roman"/>
          <w:rtl w:val="0"/>
        </w:rPr>
        <w:t xml:space="preserve"> the clearness from using SHAP values and peeling away the layers to see why the predictions landed where they did. Twelve were tried; one silent player led not with flash but with a steady reach into unknown fields. The interesting thing here is how well </w:t>
      </w:r>
      <w:r>
        <w:rPr>
          <w:rFonts w:ascii="Times New Roman" w:hAnsi="Times New Roman" w:eastAsia="Times New Roman" w:cs="Times New Roman"/>
          <w:rtl w:val="0"/>
        </w:rPr>
        <w:t xml:space="preserve">basic tuned models do; it shows something fundamental about statistics. Bigger models need more data, but Ridge takes smaller sets and just gently pulls coefficients inwards while keeping all the variables in play, so none of the crafted features are lost.</w:t>
      </w:r>
      <w:r>
        <w:rPr>
          <w:rFonts w:ascii="Times New Roman" w:hAnsi="Times New Roman" w:eastAsia="Times New Roman" w:cs="Times New Roman"/>
          <w:color w:val="000000"/>
          <w:shd w:val="clear" w:color="auto" w:fill="auto"/>
          <w:rtl w:val="0"/>
        </w:rPr>
        <w:t xml:space="preserve"> </w:t>
      </w:r>
      <w:r>
        <w:rPr>
          <w:rFonts w:ascii="Times New Roman" w:hAnsi="Times New Roman" w:eastAsia="Times New Roman" w:cs="Times New Roman"/>
          <w:rtl w:val="0"/>
        </w:rPr>
        <w:t xml:space="preserve">When the data were projected by UMAP and t-SNE, curved </w:t>
      </w:r>
      <w:r>
        <w:rPr>
          <w:rFonts w:ascii="Times New Roman" w:hAnsi="Times New Roman" w:eastAsia="Times New Roman" w:cs="Times New Roman"/>
          <w:rtl w:val="0"/>
        </w:rPr>
        <w:t xml:space="preserve">patterns were observed in the genotype–environment combination, which confirmed the construction of features and offered another view of interactions that linear methods like AMMI or GGE do not capture. Of all factors, DF_BP_Interaction stood tallest, its </w:t>
      </w:r>
      <w:r>
        <w:rPr>
          <w:rFonts w:ascii="Times New Roman" w:hAnsi="Times New Roman" w:eastAsia="Times New Roman" w:cs="Times New Roman"/>
          <w:rtl w:val="0"/>
        </w:rPr>
        <w:t xml:space="preserve">influence clear at 140.60, making up nearly 13% of what mattered. Close behind came TSW, holding steady at just under 9.3%, then biological yield trailing slightly below it. What shifted understanding was how combining days to flowering with branches per p</w:t>
      </w:r>
      <w:r>
        <w:rPr>
          <w:rFonts w:ascii="Times New Roman" w:hAnsi="Times New Roman" w:eastAsia="Times New Roman" w:cs="Times New Roman"/>
          <w:rtl w:val="0"/>
        </w:rPr>
        <w:t xml:space="preserve">lant revealed something deeper, a pattern regular traits could not show on their own. Stability checks through AMMI and GGE pointed firmly toward G71 and G63, consistent performers no matter where they grew. In contrast, G49 thrived only when conditions le</w:t>
      </w:r>
      <w:r>
        <w:rPr>
          <w:rFonts w:ascii="Times New Roman" w:hAnsi="Times New Roman" w:eastAsia="Times New Roman" w:cs="Times New Roman"/>
          <w:rtl w:val="0"/>
        </w:rPr>
        <w:t xml:space="preserve">aned richer, favoring stronger soils or better water access. A closer look at performance zones suggested not one uniform area but at least two distinct pockets across Rajshahi’s test sites, one shaping choices in one place, another guiding them elsewhere.</w:t>
      </w:r>
      <w:r>
        <w:rPr>
          <w:rFonts w:ascii="Times New Roman" w:hAnsi="Times New Roman" w:cs="Times New Roman"/>
        </w:rPr>
      </w:r>
      <w:r>
        <w:rPr>
          <w:rFonts w:ascii="Times New Roman" w:hAnsi="Times New Roman" w:cs="Times New Roman"/>
        </w:rPr>
      </w:r>
    </w:p>
    <w:p w14:paraId="00000243">
      <w:pPr>
        <w:pBdr/>
        <w:spacing/>
        <w:ind/>
        <w:jc w:val="both"/>
        <w:rPr>
          <w:rFonts w:ascii="Times New Roman" w:hAnsi="Times New Roman" w:cs="Times New Roman"/>
        </w:rPr>
      </w:pPr>
      <w:r>
        <w:rPr>
          <w:rFonts w:ascii="Times New Roman" w:hAnsi="Times New Roman" w:eastAsia="Times New Roman" w:cs="Times New Roman"/>
          <w:rtl w:val="0"/>
        </w:rPr>
        <w:t xml:space="preserve">Together, these results form an approach that combines traditional stability checks w</w:t>
      </w:r>
      <w:r>
        <w:rPr>
          <w:rFonts w:ascii="Times New Roman" w:hAnsi="Times New Roman" w:eastAsia="Times New Roman" w:cs="Times New Roman"/>
          <w:rtl w:val="0"/>
        </w:rPr>
        <w:t xml:space="preserve">ith current machine learning plus interpretability methods. It gives crop scientists a way to clearly identify promising plant types, prioritize important yield traits, and map where certain varieties thrive under dry conditions. Starting with broader data</w:t>
      </w:r>
      <w:r>
        <w:rPr>
          <w:rFonts w:ascii="Times New Roman" w:hAnsi="Times New Roman" w:eastAsia="Times New Roman" w:cs="Times New Roman"/>
          <w:rtl w:val="0"/>
        </w:rPr>
        <w:t xml:space="preserve"> across several seasons and species could test how well the system scales up. Another point of view is to compare this setup with the regular REML approaches to genetic evaluation. Such comparisons may be required in the future of digital crop improvement.</w:t>
      </w:r>
      <w:r>
        <w:rPr>
          <w:rFonts w:ascii="Times New Roman" w:hAnsi="Times New Roman" w:cs="Times New Roman"/>
        </w:rPr>
      </w:r>
      <w:r>
        <w:rPr>
          <w:rFonts w:ascii="Times New Roman" w:hAnsi="Times New Roman" w:cs="Times New Roman"/>
        </w:rPr>
      </w:r>
    </w:p>
    <w:p w14:paraId="00000244">
      <w:pPr>
        <w:pStyle w:val="890"/>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References</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5">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 </w:t>
      </w:r>
      <w:r>
        <w:rPr>
          <w:rFonts w:ascii="Times New Roman" w:hAnsi="Times New Roman" w:eastAsia="Times New Roman" w:cs="Times New Roman"/>
          <w:color w:val="000000"/>
          <w:sz w:val="24"/>
          <w:szCs w:val="24"/>
          <w:shd w:val="clear" w:color="auto" w:fill="auto"/>
          <w:rtl w:val="0"/>
        </w:rPr>
        <w:t xml:space="preserve">P. Das, G. K. Jha, A. Lama, and R. Parsad, “Crop Yield Prediction Using Hybrid Machine Learning Approach: A Case Study of Lentil (Lens culinaris Medik.),” </w:t>
      </w:r>
      <w:r>
        <w:rPr>
          <w:rFonts w:ascii="Times New Roman" w:hAnsi="Times New Roman" w:eastAsia="Times New Roman" w:cs="Times New Roman"/>
          <w:i/>
          <w:iCs/>
          <w:color w:val="000000"/>
          <w:sz w:val="24"/>
          <w:szCs w:val="24"/>
          <w:shd w:val="clear" w:color="auto" w:fill="auto"/>
          <w:rtl w:val="0"/>
        </w:rPr>
        <w:t xml:space="preserve">Agriculture</w:t>
      </w:r>
      <w:r>
        <w:rPr>
          <w:rFonts w:ascii="Times New Roman" w:hAnsi="Times New Roman" w:eastAsia="Times New Roman" w:cs="Times New Roman"/>
          <w:color w:val="000000"/>
          <w:sz w:val="24"/>
          <w:szCs w:val="24"/>
          <w:shd w:val="clear" w:color="auto" w:fill="auto"/>
          <w:rtl w:val="0"/>
        </w:rPr>
        <w:t xml:space="preserve">, vol. 13, no. 3, p. 596, Feb. 2023, doi: 10.3390/agriculture13030596.</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6">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 </w:t>
      </w:r>
      <w:r>
        <w:rPr>
          <w:rFonts w:ascii="Times New Roman" w:hAnsi="Times New Roman" w:eastAsia="Times New Roman" w:cs="Times New Roman"/>
          <w:color w:val="000000"/>
          <w:sz w:val="24"/>
          <w:szCs w:val="24"/>
          <w:shd w:val="clear" w:color="auto" w:fill="auto"/>
          <w:rtl w:val="0"/>
        </w:rPr>
        <w:t xml:space="preserve">T. Van Klompenburg, A. Kassahun, and C. Catal, “Crop yield prediction using machine learning: A systematic literature review,” </w:t>
      </w:r>
      <w:r>
        <w:rPr>
          <w:rFonts w:ascii="Times New Roman" w:hAnsi="Times New Roman" w:eastAsia="Times New Roman" w:cs="Times New Roman"/>
          <w:i/>
          <w:iCs/>
          <w:color w:val="000000"/>
          <w:sz w:val="24"/>
          <w:szCs w:val="24"/>
          <w:shd w:val="clear" w:color="auto" w:fill="auto"/>
          <w:rtl w:val="0"/>
        </w:rPr>
        <w:t xml:space="preserve">Computers and Electronics in Agriculture</w:t>
      </w:r>
      <w:r>
        <w:rPr>
          <w:rFonts w:ascii="Times New Roman" w:hAnsi="Times New Roman" w:eastAsia="Times New Roman" w:cs="Times New Roman"/>
          <w:color w:val="000000"/>
          <w:sz w:val="24"/>
          <w:szCs w:val="24"/>
          <w:shd w:val="clear" w:color="auto" w:fill="auto"/>
          <w:rtl w:val="0"/>
        </w:rPr>
        <w:t xml:space="preserve">, vol. 177, p. 105709, Aug. 2020, doi: 10.1016/j.compag.2020.105709.</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7">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 </w:t>
      </w:r>
      <w:r>
        <w:rPr>
          <w:rFonts w:ascii="Times New Roman" w:hAnsi="Times New Roman" w:eastAsia="Times New Roman" w:cs="Times New Roman"/>
          <w:color w:val="000000"/>
          <w:sz w:val="24"/>
          <w:szCs w:val="24"/>
          <w:shd w:val="clear" w:color="auto" w:fill="auto"/>
          <w:rtl w:val="0"/>
        </w:rPr>
        <w:t xml:space="preserve">V. Montejano-Ramírez and E. Valencia-Cantero, “The Importance of lentils: An overview,” </w:t>
      </w:r>
      <w:r>
        <w:rPr>
          <w:rFonts w:ascii="Times New Roman" w:hAnsi="Times New Roman" w:eastAsia="Times New Roman" w:cs="Times New Roman"/>
          <w:i/>
          <w:iCs/>
          <w:color w:val="000000"/>
          <w:sz w:val="24"/>
          <w:szCs w:val="24"/>
          <w:shd w:val="clear" w:color="auto" w:fill="auto"/>
          <w:rtl w:val="0"/>
        </w:rPr>
        <w:t xml:space="preserve">Agriculture</w:t>
      </w:r>
      <w:r>
        <w:rPr>
          <w:rFonts w:ascii="Times New Roman" w:hAnsi="Times New Roman" w:eastAsia="Times New Roman" w:cs="Times New Roman"/>
          <w:color w:val="000000"/>
          <w:sz w:val="24"/>
          <w:szCs w:val="24"/>
          <w:shd w:val="clear" w:color="auto" w:fill="auto"/>
          <w:rtl w:val="0"/>
        </w:rPr>
        <w:t xml:space="preserve">, vol. 14, no. 1, p. 103, Jan. 2024, doi: 10.3390/agriculture14010103.</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8">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[4] </w:t>
      </w:r>
      <w:r>
        <w:rPr>
          <w:rFonts w:ascii="Times New Roman" w:hAnsi="Times New Roman" w:eastAsia="Times New Roman" w:cs="Times New Roman"/>
          <w:color w:val="000000"/>
          <w:sz w:val="24"/>
          <w:szCs w:val="24"/>
          <w:shd w:val="clear" w:color="auto" w:fill="auto"/>
          <w:rtl w:val="0"/>
        </w:rPr>
        <w:t xml:space="preserve">E. Tena, F. Goshu, H. Mohamad, M. Tesfa, D. Tesfaye, and A. Seife, “Genotype × environment interaction by AMMI and GGE-biplot analysis for sugar yield in three crop cycles of sugarcane (Saccharum officinirum L.) clones in Ethiopia,” </w:t>
      </w:r>
      <w:r>
        <w:rPr>
          <w:rFonts w:ascii="Times New Roman" w:hAnsi="Times New Roman" w:eastAsia="Times New Roman" w:cs="Times New Roman"/>
          <w:i/>
          <w:iCs/>
          <w:color w:val="000000"/>
          <w:sz w:val="24"/>
          <w:szCs w:val="24"/>
          <w:shd w:val="clear" w:color="auto" w:fill="auto"/>
          <w:rtl w:val="0"/>
        </w:rPr>
        <w:t xml:space="preserve">Cogent Food &amp; Agriculture</w:t>
      </w:r>
      <w:r>
        <w:rPr>
          <w:rFonts w:ascii="Times New Roman" w:hAnsi="Times New Roman" w:eastAsia="Times New Roman" w:cs="Times New Roman"/>
          <w:color w:val="000000"/>
          <w:sz w:val="24"/>
          <w:szCs w:val="24"/>
          <w:shd w:val="clear" w:color="auto" w:fill="auto"/>
          <w:rtl w:val="0"/>
        </w:rPr>
        <w:t xml:space="preserve">, vol. 5, no. 1, p. 1651925, Jan. 2019, doi: 10.1080/23311932.2019.1651925.</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9">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[5]</w:t>
      </w:r>
      <w:r>
        <w:rPr>
          <w:rFonts w:ascii="Times New Roman" w:hAnsi="Times New Roman" w:eastAsia="Times New Roman" w:cs="Times New Roman"/>
          <w:color w:val="000000"/>
          <w:sz w:val="24"/>
          <w:szCs w:val="24"/>
          <w:shd w:val="clear" w:color="auto" w:fill="auto"/>
          <w:rtl w:val="0"/>
        </w:rPr>
        <w:t xml:space="preserve"> D. Taleghani, A. Rajabi, A. Saremirad, and P. Fasahat, “Stability analysis and selection of sugar beet (Beta vulgaris L.) genotypes using AMMI, BLUP, GGE biplot and MTSI,” </w:t>
      </w:r>
      <w:r>
        <w:rPr>
          <w:rFonts w:ascii="Times New Roman" w:hAnsi="Times New Roman" w:eastAsia="Times New Roman" w:cs="Times New Roman"/>
          <w:i/>
          <w:iCs/>
          <w:color w:val="000000"/>
          <w:sz w:val="24"/>
          <w:szCs w:val="24"/>
          <w:shd w:val="clear" w:color="auto" w:fill="auto"/>
          <w:rtl w:val="0"/>
        </w:rPr>
        <w:t xml:space="preserve">Research Square</w:t>
      </w:r>
      <w:r>
        <w:rPr>
          <w:rFonts w:ascii="Times New Roman" w:hAnsi="Times New Roman" w:eastAsia="Times New Roman" w:cs="Times New Roman"/>
          <w:color w:val="000000"/>
          <w:sz w:val="24"/>
          <w:szCs w:val="24"/>
          <w:shd w:val="clear" w:color="auto" w:fill="auto"/>
          <w:rtl w:val="0"/>
        </w:rPr>
        <w:t xml:space="preserve">, Apr. 2023, doi: 10.21203/rs.3.rs-2769933/v1.</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A">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[6] </w:t>
      </w:r>
      <w:r>
        <w:rPr>
          <w:rFonts w:ascii="Times New Roman" w:hAnsi="Times New Roman" w:eastAsia="Times New Roman" w:cs="Times New Roman"/>
          <w:color w:val="000000"/>
          <w:sz w:val="24"/>
          <w:szCs w:val="24"/>
          <w:shd w:val="clear" w:color="auto" w:fill="auto"/>
          <w:rtl w:val="0"/>
        </w:rPr>
        <w:t xml:space="preserve">R. D. Riley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“Penalization and shrinkage methods produced unreliable clinical prediction models especially when sample size was small,” </w:t>
      </w:r>
      <w:r>
        <w:rPr>
          <w:rFonts w:ascii="Times New Roman" w:hAnsi="Times New Roman" w:eastAsia="Times New Roman" w:cs="Times New Roman"/>
          <w:i/>
          <w:iCs/>
          <w:color w:val="000000"/>
          <w:sz w:val="24"/>
          <w:szCs w:val="24"/>
          <w:shd w:val="clear" w:color="auto" w:fill="auto"/>
          <w:rtl w:val="0"/>
        </w:rPr>
        <w:t xml:space="preserve">Journal of Clinical Epidemiology</w:t>
      </w:r>
      <w:r>
        <w:rPr>
          <w:rFonts w:ascii="Times New Roman" w:hAnsi="Times New Roman" w:eastAsia="Times New Roman" w:cs="Times New Roman"/>
          <w:color w:val="000000"/>
          <w:sz w:val="24"/>
          <w:szCs w:val="24"/>
          <w:shd w:val="clear" w:color="auto" w:fill="auto"/>
          <w:rtl w:val="0"/>
        </w:rPr>
        <w:t xml:space="preserve">, vol. 132, pp. 88–96, Dec. 2020, doi: 10.1016/j.jclinepi.2020.12.005.</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B">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[7] </w:t>
      </w:r>
      <w:r>
        <w:rPr>
          <w:rFonts w:ascii="Times New Roman" w:hAnsi="Times New Roman" w:eastAsia="Times New Roman" w:cs="Times New Roman"/>
          <w:color w:val="000000"/>
          <w:sz w:val="24"/>
          <w:szCs w:val="24"/>
          <w:shd w:val="clear" w:color="auto" w:fill="auto"/>
          <w:rtl w:val="0"/>
        </w:rPr>
        <w:t xml:space="preserve">M. Arashi, M. Roozbeh, N. A. Hamzah, and M. Gasparini, “Ridge regression and its applications in genetic studies,” </w:t>
      </w:r>
      <w:r>
        <w:rPr>
          <w:rFonts w:ascii="Times New Roman" w:hAnsi="Times New Roman" w:eastAsia="Times New Roman" w:cs="Times New Roman"/>
          <w:i/>
          <w:iCs/>
          <w:color w:val="000000"/>
          <w:sz w:val="24"/>
          <w:szCs w:val="24"/>
          <w:shd w:val="clear" w:color="auto" w:fill="auto"/>
          <w:rtl w:val="0"/>
        </w:rPr>
        <w:t xml:space="preserve">PLoS ONE</w:t>
      </w:r>
      <w:r>
        <w:rPr>
          <w:rFonts w:ascii="Times New Roman" w:hAnsi="Times New Roman" w:eastAsia="Times New Roman" w:cs="Times New Roman"/>
          <w:color w:val="000000"/>
          <w:sz w:val="24"/>
          <w:szCs w:val="24"/>
          <w:shd w:val="clear" w:color="auto" w:fill="auto"/>
          <w:rtl w:val="0"/>
        </w:rPr>
        <w:t xml:space="preserve">, vol. 16, no. 4, p. e0245376, Apr. 2021, doi: 10.1371/journal.pone.0245376.</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C">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[8] </w:t>
      </w:r>
      <w:r>
        <w:rPr>
          <w:rFonts w:ascii="Times New Roman" w:hAnsi="Times New Roman" w:eastAsia="Times New Roman" w:cs="Times New Roman"/>
          <w:color w:val="000000"/>
          <w:sz w:val="24"/>
          <w:szCs w:val="24"/>
          <w:shd w:val="clear" w:color="auto" w:fill="auto"/>
          <w:rtl w:val="0"/>
        </w:rPr>
        <w:t xml:space="preserve">D. M. McNeish, “Using lasso for predictor selection and to assuage overfitting: a method long overlooked in behavioral sciences,” </w:t>
      </w:r>
      <w:r>
        <w:rPr>
          <w:rFonts w:ascii="Times New Roman" w:hAnsi="Times New Roman" w:eastAsia="Times New Roman" w:cs="Times New Roman"/>
          <w:i/>
          <w:iCs/>
          <w:color w:val="000000"/>
          <w:sz w:val="24"/>
          <w:szCs w:val="24"/>
          <w:shd w:val="clear" w:color="auto" w:fill="auto"/>
          <w:rtl w:val="0"/>
        </w:rPr>
        <w:t xml:space="preserve">Multivariate Behavioral Research</w:t>
      </w:r>
      <w:r>
        <w:rPr>
          <w:rFonts w:ascii="Times New Roman" w:hAnsi="Times New Roman" w:eastAsia="Times New Roman" w:cs="Times New Roman"/>
          <w:color w:val="000000"/>
          <w:sz w:val="24"/>
          <w:szCs w:val="24"/>
          <w:shd w:val="clear" w:color="auto" w:fill="auto"/>
          <w:rtl w:val="0"/>
        </w:rPr>
        <w:t xml:space="preserve">, vol. 50, no. 5, pp. 471–484, Sep. 2015, doi: 10.1080/00273171.2015.1036965.</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D">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[9] </w:t>
      </w:r>
      <w:r>
        <w:rPr>
          <w:rFonts w:ascii="Times New Roman" w:hAnsi="Times New Roman" w:eastAsia="Times New Roman" w:cs="Times New Roman"/>
          <w:color w:val="000000"/>
          <w:sz w:val="24"/>
          <w:szCs w:val="24"/>
          <w:shd w:val="clear" w:color="auto" w:fill="auto"/>
          <w:rtl w:val="0"/>
        </w:rPr>
        <w:t xml:space="preserve">A. Zeroual, A. Baidani, and O. Idrissi, “Drought Stress in Lentil (Lens culinaris, Medik) and Approaches for Its Management,” </w:t>
      </w:r>
      <w:r>
        <w:rPr>
          <w:rFonts w:ascii="Times New Roman" w:hAnsi="Times New Roman" w:eastAsia="Times New Roman" w:cs="Times New Roman"/>
          <w:i/>
          <w:iCs/>
          <w:color w:val="000000"/>
          <w:sz w:val="24"/>
          <w:szCs w:val="24"/>
          <w:shd w:val="clear" w:color="auto" w:fill="auto"/>
          <w:rtl w:val="0"/>
        </w:rPr>
        <w:t xml:space="preserve">Horticulturae</w:t>
      </w:r>
      <w:r>
        <w:rPr>
          <w:rFonts w:ascii="Times New Roman" w:hAnsi="Times New Roman" w:eastAsia="Times New Roman" w:cs="Times New Roman"/>
          <w:color w:val="000000"/>
          <w:sz w:val="24"/>
          <w:szCs w:val="24"/>
          <w:shd w:val="clear" w:color="auto" w:fill="auto"/>
          <w:rtl w:val="0"/>
        </w:rPr>
        <w:t xml:space="preserve">, vol. 9, no. 1, p. 1, Dec. 2022, doi: 10.3390/horticulturae9010001.</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E">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[10] </w:t>
      </w:r>
      <w:r>
        <w:rPr>
          <w:rFonts w:ascii="Times New Roman" w:hAnsi="Times New Roman" w:eastAsia="Times New Roman" w:cs="Times New Roman"/>
          <w:color w:val="000000"/>
          <w:sz w:val="24"/>
          <w:szCs w:val="24"/>
          <w:shd w:val="clear" w:color="auto" w:fill="auto"/>
          <w:rtl w:val="0"/>
        </w:rPr>
        <w:t xml:space="preserve">H. Choukri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“Heat and Drought Stress Impact on Phenology, Grain Yield, and Nutritional Quality of Lentil (Lens culinaris Medikus),” </w:t>
      </w:r>
      <w:r>
        <w:rPr>
          <w:rFonts w:ascii="Times New Roman" w:hAnsi="Times New Roman" w:eastAsia="Times New Roman" w:cs="Times New Roman"/>
          <w:i/>
          <w:iCs/>
          <w:color w:val="000000"/>
          <w:sz w:val="24"/>
          <w:szCs w:val="24"/>
          <w:shd w:val="clear" w:color="auto" w:fill="auto"/>
          <w:rtl w:val="0"/>
        </w:rPr>
        <w:t xml:space="preserve">Frontiers in Nutrition</w:t>
      </w:r>
      <w:r>
        <w:rPr>
          <w:rFonts w:ascii="Times New Roman" w:hAnsi="Times New Roman" w:eastAsia="Times New Roman" w:cs="Times New Roman"/>
          <w:color w:val="000000"/>
          <w:sz w:val="24"/>
          <w:szCs w:val="24"/>
          <w:shd w:val="clear" w:color="auto" w:fill="auto"/>
          <w:rtl w:val="0"/>
        </w:rPr>
        <w:t xml:space="preserve">, vol. 7, p. 596307, Nov. 2020, doi: 10.3389/fnut.2020.596307.</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4F">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[11] </w:t>
      </w:r>
      <w:r>
        <w:rPr>
          <w:rFonts w:ascii="Times New Roman" w:hAnsi="Times New Roman" w:eastAsia="Times New Roman" w:cs="Times New Roman"/>
          <w:color w:val="000000"/>
          <w:sz w:val="24"/>
          <w:szCs w:val="24"/>
          <w:shd w:val="clear" w:color="auto" w:fill="auto"/>
          <w:rtl w:val="0"/>
        </w:rPr>
        <w:t xml:space="preserve">G. Preiti, A. Calvi, G. Badagliacca, E. Lo Presti, M. Monti, and M. Bacchi, “Agronomic Performances and Seed Yield Components of Lentil (Lens culinaris Medikus) Germplasm in a Semi-Arid Environment,” </w:t>
      </w:r>
      <w:r>
        <w:rPr>
          <w:rFonts w:ascii="Times New Roman" w:hAnsi="Times New Roman" w:eastAsia="Times New Roman" w:cs="Times New Roman"/>
          <w:i/>
          <w:iCs/>
          <w:color w:val="000000"/>
          <w:sz w:val="24"/>
          <w:szCs w:val="24"/>
          <w:shd w:val="clear" w:color="auto" w:fill="auto"/>
          <w:rtl w:val="0"/>
        </w:rPr>
        <w:t xml:space="preserve">Agronomy</w:t>
      </w:r>
      <w:r>
        <w:rPr>
          <w:rFonts w:ascii="Times New Roman" w:hAnsi="Times New Roman" w:eastAsia="Times New Roman" w:cs="Times New Roman"/>
          <w:color w:val="000000"/>
          <w:sz w:val="24"/>
          <w:szCs w:val="24"/>
          <w:shd w:val="clear" w:color="auto" w:fill="auto"/>
          <w:rtl w:val="0"/>
        </w:rPr>
        <w:t xml:space="preserve">, vol. 14, no. 2, p. 303, Jan. 2024, doi: 10.3390/agronomy14020303.</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0">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[12]</w:t>
      </w:r>
      <w:r>
        <w:rPr>
          <w:rFonts w:ascii="Times New Roman" w:hAnsi="Times New Roman" w:eastAsia="Times New Roman" w:cs="Times New Roman"/>
          <w:color w:val="000000"/>
          <w:sz w:val="24"/>
          <w:szCs w:val="24"/>
          <w:shd w:val="clear" w:color="auto" w:fill="auto"/>
          <w:rtl w:val="0"/>
        </w:rPr>
        <w:t xml:space="preserve"> S. Iniyan, V. A. Varma, and C. T. Naidu, “Crop yield prediction using machine learning techniques,” </w:t>
      </w:r>
      <w:r>
        <w:rPr>
          <w:rFonts w:ascii="Times New Roman" w:hAnsi="Times New Roman" w:eastAsia="Times New Roman" w:cs="Times New Roman"/>
          <w:i/>
          <w:iCs/>
          <w:color w:val="000000"/>
          <w:sz w:val="24"/>
          <w:szCs w:val="24"/>
          <w:shd w:val="clear" w:color="auto" w:fill="auto"/>
          <w:rtl w:val="0"/>
        </w:rPr>
        <w:t xml:space="preserve">Advances in Engineering Software</w:t>
      </w:r>
      <w:r>
        <w:rPr>
          <w:rFonts w:ascii="Times New Roman" w:hAnsi="Times New Roman" w:eastAsia="Times New Roman" w:cs="Times New Roman"/>
          <w:color w:val="000000"/>
          <w:sz w:val="24"/>
          <w:szCs w:val="24"/>
          <w:shd w:val="clear" w:color="auto" w:fill="auto"/>
          <w:rtl w:val="0"/>
        </w:rPr>
        <w:t xml:space="preserve">, vol. 175, p. 103326, Nov. 2022, doi: 10.1016/j.advengsoft.2022.103326.</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1">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[13] </w:t>
      </w:r>
      <w:r>
        <w:rPr>
          <w:rFonts w:ascii="Times New Roman" w:hAnsi="Times New Roman" w:eastAsia="Times New Roman" w:cs="Times New Roman"/>
          <w:color w:val="000000"/>
          <w:sz w:val="24"/>
          <w:szCs w:val="24"/>
          <w:shd w:val="clear" w:color="auto" w:fill="auto"/>
          <w:rtl w:val="0"/>
        </w:rPr>
        <w:t xml:space="preserve">N. M. Gharakhanlou and L. Perez, “From data to harvest: Leveraging ensemble machine learning for enhanced crop yield predictions across Canada amidst climate change,” </w:t>
      </w:r>
      <w:r>
        <w:rPr>
          <w:rFonts w:ascii="Times New Roman" w:hAnsi="Times New Roman" w:eastAsia="Times New Roman" w:cs="Times New Roman"/>
          <w:i/>
          <w:iCs/>
          <w:color w:val="000000"/>
          <w:sz w:val="24"/>
          <w:szCs w:val="24"/>
          <w:shd w:val="clear" w:color="auto" w:fill="auto"/>
          <w:rtl w:val="0"/>
        </w:rPr>
        <w:t xml:space="preserve">The Science of the Total Environment</w:t>
      </w:r>
      <w:r>
        <w:rPr>
          <w:rFonts w:ascii="Times New Roman" w:hAnsi="Times New Roman" w:eastAsia="Times New Roman" w:cs="Times New Roman"/>
          <w:color w:val="000000"/>
          <w:sz w:val="24"/>
          <w:szCs w:val="24"/>
          <w:shd w:val="clear" w:color="auto" w:fill="auto"/>
          <w:rtl w:val="0"/>
        </w:rPr>
        <w:t xml:space="preserve">, vol. 951, p. 175764, Aug. 2024, doi: 10.1016/j.scitotenv.2024.175764.</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2">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[14]</w:t>
      </w:r>
      <w:r>
        <w:rPr>
          <w:rFonts w:ascii="Times New Roman" w:hAnsi="Times New Roman" w:eastAsia="Times New Roman" w:cs="Times New Roman"/>
          <w:color w:val="000000"/>
          <w:sz w:val="24"/>
          <w:szCs w:val="24"/>
          <w:shd w:val="clear" w:color="auto" w:fill="auto"/>
          <w:rtl w:val="0"/>
        </w:rPr>
        <w:t xml:space="preserve"> P. Filippi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“An approach to forecast grain crop yield using multi-layered, multi-farm data sets and machine learning,” </w:t>
      </w:r>
      <w:r>
        <w:rPr>
          <w:rFonts w:ascii="Times New Roman" w:hAnsi="Times New Roman" w:eastAsia="Times New Roman" w:cs="Times New Roman"/>
          <w:i/>
          <w:iCs/>
          <w:color w:val="000000"/>
          <w:sz w:val="24"/>
          <w:szCs w:val="24"/>
          <w:shd w:val="clear" w:color="auto" w:fill="auto"/>
          <w:rtl w:val="0"/>
        </w:rPr>
        <w:t xml:space="preserve">Precision Agriculture</w:t>
      </w:r>
      <w:r>
        <w:rPr>
          <w:rFonts w:ascii="Times New Roman" w:hAnsi="Times New Roman" w:eastAsia="Times New Roman" w:cs="Times New Roman"/>
          <w:color w:val="000000"/>
          <w:sz w:val="24"/>
          <w:szCs w:val="24"/>
          <w:shd w:val="clear" w:color="auto" w:fill="auto"/>
          <w:rtl w:val="0"/>
        </w:rPr>
        <w:t xml:space="preserve">, vol. 20, no. 5, pp. 1015–1029, Jan. 2019, doi: 10.1007/s11119-018-09628-4.</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3">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[15]</w:t>
      </w:r>
      <w:r>
        <w:rPr>
          <w:rFonts w:ascii="Times New Roman" w:hAnsi="Times New Roman" w:eastAsia="Times New Roman" w:cs="Times New Roman"/>
          <w:color w:val="000000"/>
          <w:sz w:val="24"/>
          <w:szCs w:val="24"/>
          <w:shd w:val="clear" w:color="auto" w:fill="auto"/>
          <w:rtl w:val="0"/>
        </w:rPr>
        <w:t xml:space="preserve"> M. Bouni, B. Hssina, K. Douzi, and S. Douzi, “Interpretable machine learning techniques for an advanced crop recommendation model,” </w:t>
      </w:r>
      <w:r>
        <w:rPr>
          <w:rFonts w:ascii="Times New Roman" w:hAnsi="Times New Roman" w:eastAsia="Times New Roman" w:cs="Times New Roman"/>
          <w:i/>
          <w:iCs/>
          <w:color w:val="000000"/>
          <w:sz w:val="24"/>
          <w:szCs w:val="24"/>
          <w:shd w:val="clear" w:color="auto" w:fill="auto"/>
          <w:rtl w:val="0"/>
        </w:rPr>
        <w:t xml:space="preserve">Journal of Electrical and Computer Engineering</w:t>
      </w:r>
      <w:r>
        <w:rPr>
          <w:rFonts w:ascii="Times New Roman" w:hAnsi="Times New Roman" w:eastAsia="Times New Roman" w:cs="Times New Roman"/>
          <w:color w:val="000000"/>
          <w:sz w:val="24"/>
          <w:szCs w:val="24"/>
          <w:shd w:val="clear" w:color="auto" w:fill="auto"/>
          <w:rtl w:val="0"/>
        </w:rPr>
        <w:t xml:space="preserve">, vol. 2024, no. 1, Jan. 2024, doi: 10.1155/2024/7405217.</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4">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[16] </w:t>
      </w:r>
      <w:r>
        <w:rPr>
          <w:rFonts w:ascii="Times New Roman" w:hAnsi="Times New Roman" w:eastAsia="Times New Roman" w:cs="Times New Roman"/>
          <w:color w:val="000000"/>
          <w:sz w:val="24"/>
          <w:szCs w:val="24"/>
          <w:shd w:val="clear" w:color="auto" w:fill="auto"/>
          <w:rtl w:val="0"/>
        </w:rPr>
        <w:t xml:space="preserve">E. J. Jones, T. F. A. Bishop, B. P. Malone, P. J. Hulme, B. M. Whelan, and P. Filippi, “Identifying causes of crop yield variability with interpretive machine learning,” </w:t>
      </w:r>
      <w:r>
        <w:rPr>
          <w:rFonts w:ascii="Times New Roman" w:hAnsi="Times New Roman" w:eastAsia="Times New Roman" w:cs="Times New Roman"/>
          <w:i/>
          <w:iCs/>
          <w:color w:val="000000"/>
          <w:sz w:val="24"/>
          <w:szCs w:val="24"/>
          <w:shd w:val="clear" w:color="auto" w:fill="auto"/>
          <w:rtl w:val="0"/>
        </w:rPr>
        <w:t xml:space="preserve">Computers and Electronics in Agriculture</w:t>
      </w:r>
      <w:r>
        <w:rPr>
          <w:rFonts w:ascii="Times New Roman" w:hAnsi="Times New Roman" w:eastAsia="Times New Roman" w:cs="Times New Roman"/>
          <w:color w:val="000000"/>
          <w:sz w:val="24"/>
          <w:szCs w:val="24"/>
          <w:shd w:val="clear" w:color="auto" w:fill="auto"/>
          <w:rtl w:val="0"/>
        </w:rPr>
        <w:t xml:space="preserve">, vol. 192, p. 106632, Dec. 2021, doi: 10.1016/j.compag.2021.106632.</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5">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[17] </w:t>
      </w:r>
      <w:r>
        <w:rPr>
          <w:rFonts w:ascii="Times New Roman" w:hAnsi="Times New Roman" w:eastAsia="Times New Roman" w:cs="Times New Roman"/>
          <w:color w:val="000000"/>
          <w:sz w:val="24"/>
          <w:szCs w:val="24"/>
          <w:shd w:val="clear" w:color="auto" w:fill="auto"/>
          <w:rtl w:val="0"/>
        </w:rPr>
        <w:t xml:space="preserve">D. Mullualem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“Genotype-by-environment interaction and stability analysis of grain yield of bread wheat (Triticum aestivum L.) genotypes using AMMI and GGE biplot analyses,” </w:t>
      </w:r>
      <w:r>
        <w:rPr>
          <w:rFonts w:ascii="Times New Roman" w:hAnsi="Times New Roman" w:eastAsia="Times New Roman" w:cs="Times New Roman"/>
          <w:i/>
          <w:iCs/>
          <w:color w:val="000000"/>
          <w:sz w:val="24"/>
          <w:szCs w:val="24"/>
          <w:shd w:val="clear" w:color="auto" w:fill="auto"/>
          <w:rtl w:val="0"/>
        </w:rPr>
        <w:t xml:space="preserve">Heliyon</w:t>
      </w:r>
      <w:r>
        <w:rPr>
          <w:rFonts w:ascii="Times New Roman" w:hAnsi="Times New Roman" w:eastAsia="Times New Roman" w:cs="Times New Roman"/>
          <w:color w:val="000000"/>
          <w:sz w:val="24"/>
          <w:szCs w:val="24"/>
          <w:shd w:val="clear" w:color="auto" w:fill="auto"/>
          <w:rtl w:val="0"/>
        </w:rPr>
        <w:t xml:space="preserve">, vol. 10, no. 12, p. e32918, Jun. 2024, doi: 10.1016/j.heliyon.2024.e32918.</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6">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[18]</w:t>
      </w:r>
      <w:r>
        <w:rPr>
          <w:rFonts w:ascii="Times New Roman" w:hAnsi="Times New Roman" w:eastAsia="Times New Roman" w:cs="Times New Roman"/>
          <w:color w:val="000000"/>
          <w:sz w:val="24"/>
          <w:szCs w:val="24"/>
          <w:shd w:val="clear" w:color="auto" w:fill="auto"/>
          <w:rtl w:val="0"/>
        </w:rPr>
        <w:t xml:space="preserve"> M. M. </w:t>
      </w:r>
      <w:r>
        <w:rPr>
          <w:rFonts w:ascii="Times New Roman" w:hAnsi="Times New Roman" w:eastAsia="Times New Roman" w:cs="Times New Roman"/>
          <w:color w:val="000000"/>
          <w:sz w:val="24"/>
          <w:szCs w:val="24"/>
          <w:shd w:val="clear" w:color="auto" w:fill="auto"/>
          <w:rtl w:val="0"/>
        </w:rPr>
        <w:t xml:space="preserve">H. Khan, M. Y. Rafii, S. I. Ramlee, M. Jusoh, and M. A. Mamun, “AMMI and GGE biplot analysis for yield performance and stability assessment of selected Bambara groundnut (Vigna subterranea L. Verdc.) genotypes under the multi-environmental trials (METs),” </w:t>
      </w:r>
      <w:r>
        <w:rPr>
          <w:rFonts w:ascii="Times New Roman" w:hAnsi="Times New Roman" w:eastAsia="Times New Roman" w:cs="Times New Roman"/>
          <w:i/>
          <w:iCs/>
          <w:color w:val="000000"/>
          <w:sz w:val="24"/>
          <w:szCs w:val="24"/>
          <w:shd w:val="clear" w:color="auto" w:fill="auto"/>
          <w:rtl w:val="0"/>
        </w:rPr>
        <w:t xml:space="preserve">Scientific Reports</w:t>
      </w:r>
      <w:r>
        <w:rPr>
          <w:rFonts w:ascii="Times New Roman" w:hAnsi="Times New Roman" w:eastAsia="Times New Roman" w:cs="Times New Roman"/>
          <w:color w:val="000000"/>
          <w:sz w:val="24"/>
          <w:szCs w:val="24"/>
          <w:shd w:val="clear" w:color="auto" w:fill="auto"/>
          <w:rtl w:val="0"/>
        </w:rPr>
        <w:t xml:space="preserve">, vol. 11, no. 1, p. 22791, Nov. 2021, doi: 10.1038/s41598-021-01411-2.</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7">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[19] </w:t>
      </w:r>
      <w:r>
        <w:rPr>
          <w:rFonts w:ascii="Times New Roman" w:hAnsi="Times New Roman" w:eastAsia="Times New Roman" w:cs="Times New Roman"/>
          <w:color w:val="000000"/>
          <w:sz w:val="24"/>
          <w:szCs w:val="24"/>
          <w:shd w:val="clear" w:color="auto" w:fill="auto"/>
          <w:rtl w:val="0"/>
        </w:rPr>
        <w:t xml:space="preserve">E. Becht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“Dimensionality reduction for visualizing single-cell data using UMAP,” </w:t>
      </w:r>
      <w:r>
        <w:rPr>
          <w:rFonts w:ascii="Times New Roman" w:hAnsi="Times New Roman" w:eastAsia="Times New Roman" w:cs="Times New Roman"/>
          <w:i/>
          <w:iCs/>
          <w:color w:val="000000"/>
          <w:sz w:val="24"/>
          <w:szCs w:val="24"/>
          <w:shd w:val="clear" w:color="auto" w:fill="auto"/>
          <w:rtl w:val="0"/>
        </w:rPr>
        <w:t xml:space="preserve">Nature Biotechnology</w:t>
      </w:r>
      <w:r>
        <w:rPr>
          <w:rFonts w:ascii="Times New Roman" w:hAnsi="Times New Roman" w:eastAsia="Times New Roman" w:cs="Times New Roman"/>
          <w:color w:val="000000"/>
          <w:sz w:val="24"/>
          <w:szCs w:val="24"/>
          <w:shd w:val="clear" w:color="auto" w:fill="auto"/>
          <w:rtl w:val="0"/>
        </w:rPr>
        <w:t xml:space="preserve">, vol. 37, no. 1, pp. 38–44, Dec. 2018, doi: 10.1038/nbt.4314.</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8">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[20] </w:t>
      </w:r>
      <w:r>
        <w:rPr>
          <w:rFonts w:ascii="Times New Roman" w:hAnsi="Times New Roman" w:eastAsia="Times New Roman" w:cs="Times New Roman"/>
          <w:color w:val="000000"/>
          <w:sz w:val="24"/>
          <w:szCs w:val="24"/>
          <w:shd w:val="clear" w:color="auto" w:fill="auto"/>
          <w:rtl w:val="0"/>
        </w:rPr>
        <w:t xml:space="preserve">Y. Wang, H. Huang, C. Rudin, and Y. Shaposhnik, “Understanding how dimension reduction tools work: An empirical approach to deciphering T-SNE, UMAP, TriMAP, and PACMAP for data visualization,” </w:t>
      </w:r>
      <w:r>
        <w:rPr>
          <w:rFonts w:ascii="Times New Roman" w:hAnsi="Times New Roman" w:eastAsia="Times New Roman" w:cs="Times New Roman"/>
          <w:i/>
          <w:iCs/>
          <w:color w:val="000000"/>
          <w:sz w:val="24"/>
          <w:szCs w:val="24"/>
          <w:shd w:val="clear" w:color="auto" w:fill="auto"/>
          <w:rtl w:val="0"/>
        </w:rPr>
        <w:t xml:space="preserve">arXiv.org</w:t>
      </w:r>
      <w:r>
        <w:rPr>
          <w:rFonts w:ascii="Times New Roman" w:hAnsi="Times New Roman" w:eastAsia="Times New Roman" w:cs="Times New Roman"/>
          <w:color w:val="000000"/>
          <w:sz w:val="24"/>
          <w:szCs w:val="24"/>
          <w:shd w:val="clear" w:color="auto" w:fill="auto"/>
          <w:rtl w:val="0"/>
        </w:rPr>
        <w:t xml:space="preserve">, Dec. 08, 2020. https://arxiv.org/abs/2012.04456</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9">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[21] </w:t>
      </w:r>
      <w:r>
        <w:rPr>
          <w:rFonts w:ascii="Times New Roman" w:hAnsi="Times New Roman" w:eastAsia="Times New Roman" w:cs="Times New Roman"/>
          <w:color w:val="000000"/>
          <w:sz w:val="24"/>
          <w:szCs w:val="24"/>
          <w:shd w:val="clear" w:color="auto" w:fill="auto"/>
          <w:rtl w:val="0"/>
        </w:rPr>
        <w:t xml:space="preserve">M. Mittal, P. G. J, G. P. M. S, R. M. Devadas, L. Ambreen, and V. Kumar, “Dimensionality reduction using UMAP and TSNE technique,” </w:t>
      </w:r>
      <w:r>
        <w:rPr>
          <w:rFonts w:ascii="Times New Roman" w:hAnsi="Times New Roman" w:eastAsia="Times New Roman" w:cs="Times New Roman"/>
          <w:i/>
          <w:iCs/>
          <w:color w:val="000000"/>
          <w:sz w:val="24"/>
          <w:szCs w:val="24"/>
          <w:shd w:val="clear" w:color="auto" w:fill="auto"/>
          <w:rtl w:val="0"/>
        </w:rPr>
        <w:t xml:space="preserve">Dimensionality Reduction Using UMAP and TSNE Technique</w:t>
      </w:r>
      <w:r>
        <w:rPr>
          <w:rFonts w:ascii="Times New Roman" w:hAnsi="Times New Roman" w:eastAsia="Times New Roman" w:cs="Times New Roman"/>
          <w:color w:val="000000"/>
          <w:sz w:val="24"/>
          <w:szCs w:val="24"/>
          <w:shd w:val="clear" w:color="auto" w:fill="auto"/>
          <w:rtl w:val="0"/>
        </w:rPr>
        <w:t xml:space="preserve">, pp. 1–5, Jul. 2024, doi: 10.1109/icait61638.2024.10690797.</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A">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[22] </w:t>
      </w:r>
      <w:r>
        <w:rPr>
          <w:rFonts w:ascii="Times New Roman" w:hAnsi="Times New Roman" w:eastAsia="Times New Roman" w:cs="Times New Roman"/>
          <w:color w:val="000000"/>
          <w:sz w:val="24"/>
          <w:szCs w:val="24"/>
          <w:shd w:val="clear" w:color="auto" w:fill="auto"/>
          <w:rtl w:val="0"/>
        </w:rPr>
        <w:t xml:space="preserve">E. Takele, F. Mekbib, and F. Mekonnen, “Genetic variability and characters association for yield, yield attributing traits and protein content of lentil (Lens Culinaris Medikus) genotype in Ethiopia,” </w:t>
      </w:r>
      <w:r>
        <w:rPr>
          <w:rFonts w:ascii="Times New Roman" w:hAnsi="Times New Roman" w:eastAsia="Times New Roman" w:cs="Times New Roman"/>
          <w:i/>
          <w:iCs/>
          <w:color w:val="000000"/>
          <w:sz w:val="24"/>
          <w:szCs w:val="24"/>
          <w:shd w:val="clear" w:color="auto" w:fill="auto"/>
          <w:rtl w:val="0"/>
        </w:rPr>
        <w:t xml:space="preserve">CABI Agriculture and Bioscience</w:t>
      </w:r>
      <w:r>
        <w:rPr>
          <w:rFonts w:ascii="Times New Roman" w:hAnsi="Times New Roman" w:eastAsia="Times New Roman" w:cs="Times New Roman"/>
          <w:color w:val="000000"/>
          <w:sz w:val="24"/>
          <w:szCs w:val="24"/>
          <w:shd w:val="clear" w:color="auto" w:fill="auto"/>
          <w:rtl w:val="0"/>
        </w:rPr>
        <w:t xml:space="preserve">, vol. 3, no. 1, Feb. 2022, doi: 10.1186/s43170-022-00079-6.</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B">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[23] </w:t>
      </w:r>
      <w:r>
        <w:rPr>
          <w:rFonts w:ascii="Times New Roman" w:hAnsi="Times New Roman" w:eastAsia="Times New Roman" w:cs="Times New Roman"/>
          <w:color w:val="000000"/>
          <w:sz w:val="24"/>
          <w:szCs w:val="24"/>
          <w:shd w:val="clear" w:color="auto" w:fill="auto"/>
          <w:rtl w:val="0"/>
        </w:rPr>
        <w:t xml:space="preserve">Y. Shavrukov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“Early flowering as a drought escape mechanism in plants: How can it aid wheat production?,” </w:t>
      </w:r>
      <w:r>
        <w:rPr>
          <w:rFonts w:ascii="Times New Roman" w:hAnsi="Times New Roman" w:eastAsia="Times New Roman" w:cs="Times New Roman"/>
          <w:i/>
          <w:iCs/>
          <w:color w:val="000000"/>
          <w:sz w:val="24"/>
          <w:szCs w:val="24"/>
          <w:shd w:val="clear" w:color="auto" w:fill="auto"/>
          <w:rtl w:val="0"/>
        </w:rPr>
        <w:t xml:space="preserve">Frontiers in Plant Science</w:t>
      </w:r>
      <w:r>
        <w:rPr>
          <w:rFonts w:ascii="Times New Roman" w:hAnsi="Times New Roman" w:eastAsia="Times New Roman" w:cs="Times New Roman"/>
          <w:color w:val="000000"/>
          <w:sz w:val="24"/>
          <w:szCs w:val="24"/>
          <w:shd w:val="clear" w:color="auto" w:fill="auto"/>
          <w:rtl w:val="0"/>
        </w:rPr>
        <w:t xml:space="preserve">, vol. 8, p. 1950, Nov. 2017, doi: 10.3389/fpls.2017.01950.</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C">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[24] </w:t>
      </w:r>
      <w:r>
        <w:rPr>
          <w:rFonts w:ascii="Times New Roman" w:hAnsi="Times New Roman" w:eastAsia="Times New Roman" w:cs="Times New Roman"/>
          <w:color w:val="000000"/>
          <w:sz w:val="24"/>
          <w:szCs w:val="24"/>
          <w:shd w:val="clear" w:color="auto" w:fill="auto"/>
          <w:rtl w:val="0"/>
        </w:rPr>
        <w:t xml:space="preserve">A. Sehgal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“Influence of drought and heat stress, applied independently or in combination during seed development, on qualitative and quantitative aspects of seeds of lentil (Lens culinarisMedikus) genotypes, differing in drought sensitivity,” </w:t>
      </w:r>
      <w:r>
        <w:rPr>
          <w:rFonts w:ascii="Times New Roman" w:hAnsi="Times New Roman" w:eastAsia="Times New Roman" w:cs="Times New Roman"/>
          <w:i/>
          <w:iCs/>
          <w:color w:val="000000"/>
          <w:sz w:val="24"/>
          <w:szCs w:val="24"/>
          <w:shd w:val="clear" w:color="auto" w:fill="auto"/>
          <w:rtl w:val="0"/>
        </w:rPr>
        <w:t xml:space="preserve">Plant Cell &amp; Environment</w:t>
      </w:r>
      <w:r>
        <w:rPr>
          <w:rFonts w:ascii="Times New Roman" w:hAnsi="Times New Roman" w:eastAsia="Times New Roman" w:cs="Times New Roman"/>
          <w:color w:val="000000"/>
          <w:sz w:val="24"/>
          <w:szCs w:val="24"/>
          <w:shd w:val="clear" w:color="auto" w:fill="auto"/>
          <w:rtl w:val="0"/>
        </w:rPr>
        <w:t xml:space="preserve">, vol. 42, no. 1, pp. 198–211, May 2018, doi: 10.1111/pce.13328.</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D">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[25] </w:t>
      </w:r>
      <w:r>
        <w:rPr>
          <w:rFonts w:ascii="Times New Roman" w:hAnsi="Times New Roman" w:eastAsia="Times New Roman" w:cs="Times New Roman"/>
          <w:color w:val="000000"/>
          <w:sz w:val="24"/>
          <w:szCs w:val="24"/>
          <w:shd w:val="clear" w:color="auto" w:fill="auto"/>
          <w:rtl w:val="0"/>
        </w:rPr>
        <w:t xml:space="preserve">Md. M. A. Noor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“Lentil adaptation to drought stress: response, tolerance, and breeding approaches,” </w:t>
      </w:r>
      <w:r>
        <w:rPr>
          <w:rFonts w:ascii="Times New Roman" w:hAnsi="Times New Roman" w:eastAsia="Times New Roman" w:cs="Times New Roman"/>
          <w:i/>
          <w:iCs/>
          <w:color w:val="000000"/>
          <w:sz w:val="24"/>
          <w:szCs w:val="24"/>
          <w:shd w:val="clear" w:color="auto" w:fill="auto"/>
          <w:rtl w:val="0"/>
        </w:rPr>
        <w:t xml:space="preserve">Frontiers in Plant Science</w:t>
      </w:r>
      <w:r>
        <w:rPr>
          <w:rFonts w:ascii="Times New Roman" w:hAnsi="Times New Roman" w:eastAsia="Times New Roman" w:cs="Times New Roman"/>
          <w:color w:val="000000"/>
          <w:sz w:val="24"/>
          <w:szCs w:val="24"/>
          <w:shd w:val="clear" w:color="auto" w:fill="auto"/>
          <w:rtl w:val="0"/>
        </w:rPr>
        <w:t xml:space="preserve">, vol. 15, p. 1403922, Aug. 2024, doi: 10.3389/fpls.2024.1403922.</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E">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[26] </w:t>
      </w:r>
      <w:r>
        <w:rPr>
          <w:rFonts w:ascii="Times New Roman" w:hAnsi="Times New Roman" w:eastAsia="Times New Roman" w:cs="Times New Roman"/>
          <w:color w:val="000000"/>
          <w:sz w:val="24"/>
          <w:szCs w:val="24"/>
          <w:shd w:val="clear" w:color="auto" w:fill="auto"/>
          <w:rtl w:val="0"/>
        </w:rPr>
        <w:t xml:space="preserve">A. Yenkikar, V. P. Mishra, M. Bali, and T. Ara, “An explainable AI-based hybrid machine learning model for interpretability and enhanced crop yield prediction,” </w:t>
      </w:r>
      <w:r>
        <w:rPr>
          <w:rFonts w:ascii="Times New Roman" w:hAnsi="Times New Roman" w:eastAsia="Times New Roman" w:cs="Times New Roman"/>
          <w:i/>
          <w:iCs/>
          <w:color w:val="000000"/>
          <w:sz w:val="24"/>
          <w:szCs w:val="24"/>
          <w:shd w:val="clear" w:color="auto" w:fill="auto"/>
          <w:rtl w:val="0"/>
        </w:rPr>
        <w:t xml:space="preserve">MethodsX</w:t>
      </w:r>
      <w:r>
        <w:rPr>
          <w:rFonts w:ascii="Times New Roman" w:hAnsi="Times New Roman" w:eastAsia="Times New Roman" w:cs="Times New Roman"/>
          <w:color w:val="000000"/>
          <w:sz w:val="24"/>
          <w:szCs w:val="24"/>
          <w:shd w:val="clear" w:color="auto" w:fill="auto"/>
          <w:rtl w:val="0"/>
        </w:rPr>
        <w:t xml:space="preserve">, vol. 15, p. 103442, Jun. 2025, doi: 10.1016/j.mex.2025.103442.</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5F">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[27] </w:t>
      </w:r>
      <w:r>
        <w:rPr>
          <w:rFonts w:ascii="Times New Roman" w:hAnsi="Times New Roman" w:eastAsia="Times New Roman" w:cs="Times New Roman"/>
          <w:color w:val="000000"/>
          <w:sz w:val="24"/>
          <w:szCs w:val="24"/>
          <w:shd w:val="clear" w:color="auto" w:fill="auto"/>
          <w:rtl w:val="0"/>
        </w:rPr>
        <w:t xml:space="preserve">K. Ganesan and B. Xu, “Polyphenol-Rich lentils and their health promoting effects,” </w:t>
      </w:r>
      <w:r>
        <w:rPr>
          <w:rFonts w:ascii="Times New Roman" w:hAnsi="Times New Roman" w:eastAsia="Times New Roman" w:cs="Times New Roman"/>
          <w:i/>
          <w:iCs/>
          <w:color w:val="000000"/>
          <w:sz w:val="24"/>
          <w:szCs w:val="24"/>
          <w:shd w:val="clear" w:color="auto" w:fill="auto"/>
          <w:rtl w:val="0"/>
        </w:rPr>
        <w:t xml:space="preserve">International Journal of Molecular Sciences</w:t>
      </w:r>
      <w:r>
        <w:rPr>
          <w:rFonts w:ascii="Times New Roman" w:hAnsi="Times New Roman" w:eastAsia="Times New Roman" w:cs="Times New Roman"/>
          <w:color w:val="000000"/>
          <w:sz w:val="24"/>
          <w:szCs w:val="24"/>
          <w:shd w:val="clear" w:color="auto" w:fill="auto"/>
          <w:rtl w:val="0"/>
        </w:rPr>
        <w:t xml:space="preserve">, vol. 18, no. 11, p. 2390, Nov. 2017, doi: 10.3390/ijms18112390.</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60">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z w:val="24"/>
          <w:szCs w:val="24"/>
          <w:shd w:val="clear" w:color="auto" w:fill="auto"/>
          <w:rtl w:val="0"/>
        </w:rPr>
        <w:t xml:space="preserve">[28] H. Chen, I. C. Covert, S. M. Lundberg, and S.-I. Lee, “Algorithms to estimate Shapley value feature attributions,” </w:t>
      </w:r>
      <w:r>
        <w:rPr>
          <w:rFonts w:ascii="Times New Roman" w:hAnsi="Times New Roman" w:eastAsia="Times New Roman" w:cs="Times New Roman"/>
          <w:i/>
          <w:iCs/>
          <w:color w:val="000000"/>
          <w:sz w:val="24"/>
          <w:szCs w:val="24"/>
          <w:shd w:val="clear" w:color="auto" w:fill="auto"/>
          <w:rtl w:val="0"/>
        </w:rPr>
        <w:t xml:space="preserve">Nature Machine Intelligence</w:t>
      </w:r>
      <w:r>
        <w:rPr>
          <w:rFonts w:ascii="Times New Roman" w:hAnsi="Times New Roman" w:eastAsia="Times New Roman" w:cs="Times New Roman"/>
          <w:color w:val="000000"/>
          <w:sz w:val="24"/>
          <w:szCs w:val="24"/>
          <w:shd w:val="clear" w:color="auto" w:fill="auto"/>
          <w:rtl w:val="0"/>
        </w:rPr>
        <w:t xml:space="preserve">, vol. 5, no. 6, pp. 590–601, May 2023, doi: 10.1038/s42256-023-00657-x.</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61">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z w:val="24"/>
          <w:szCs w:val="24"/>
          <w:shd w:val="clear" w:color="auto" w:fill="auto"/>
          <w:rtl w:val="0"/>
        </w:rPr>
        <w:t xml:space="preserve">[29] D. Tadese, H. Piepho, and J. Hartung, “Accuracy of prediction from multi-environment trials for new locations using pedigree information and environmental covariates: the case of sorghum (Sorghum bicolor (L.) Moench) breeding,” </w:t>
      </w:r>
      <w:r>
        <w:rPr>
          <w:rFonts w:ascii="Times New Roman" w:hAnsi="Times New Roman" w:eastAsia="Times New Roman" w:cs="Times New Roman"/>
          <w:i/>
          <w:iCs/>
          <w:color w:val="000000"/>
          <w:sz w:val="24"/>
          <w:szCs w:val="24"/>
          <w:shd w:val="clear" w:color="auto" w:fill="auto"/>
          <w:rtl w:val="0"/>
        </w:rPr>
        <w:t xml:space="preserve">Theoretical and Applied Genetics</w:t>
      </w:r>
      <w:r>
        <w:rPr>
          <w:rFonts w:ascii="Times New Roman" w:hAnsi="Times New Roman" w:eastAsia="Times New Roman" w:cs="Times New Roman"/>
          <w:color w:val="000000"/>
          <w:sz w:val="24"/>
          <w:szCs w:val="24"/>
          <w:shd w:val="clear" w:color="auto" w:fill="auto"/>
          <w:rtl w:val="0"/>
        </w:rPr>
        <w:t xml:space="preserve">, vol. 137, no. 8, p. 181, Jul. 2024, doi: 10.1007/s00122-024-04684-z.</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62">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z w:val="24"/>
          <w:szCs w:val="24"/>
          <w:shd w:val="clear" w:color="auto" w:fill="auto"/>
          <w:rtl w:val="0"/>
        </w:rPr>
        <w:t xml:space="preserve">[30] R. Ortiz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“Partial least squares enhance multi-trait genomic prediction of potato cultivars in new environments,” </w:t>
      </w:r>
      <w:r>
        <w:rPr>
          <w:rFonts w:ascii="Times New Roman" w:hAnsi="Times New Roman" w:eastAsia="Times New Roman" w:cs="Times New Roman"/>
          <w:i/>
          <w:iCs/>
          <w:color w:val="000000"/>
          <w:sz w:val="24"/>
          <w:szCs w:val="24"/>
          <w:shd w:val="clear" w:color="auto" w:fill="auto"/>
          <w:rtl w:val="0"/>
        </w:rPr>
        <w:t xml:space="preserve">Scientific Reports</w:t>
      </w:r>
      <w:r>
        <w:rPr>
          <w:rFonts w:ascii="Times New Roman" w:hAnsi="Times New Roman" w:eastAsia="Times New Roman" w:cs="Times New Roman"/>
          <w:color w:val="000000"/>
          <w:sz w:val="24"/>
          <w:szCs w:val="24"/>
          <w:shd w:val="clear" w:color="auto" w:fill="auto"/>
          <w:rtl w:val="0"/>
        </w:rPr>
        <w:t xml:space="preserve">, vol. 13, no. 1, p. 9947, Jun. 2023, doi: 10.1038/s41598-023-37169-y.</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63">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z w:val="24"/>
          <w:szCs w:val="24"/>
          <w:shd w:val="clear" w:color="auto" w:fill="auto"/>
          <w:rtl w:val="0"/>
        </w:rPr>
        <w:t xml:space="preserve">[31] M. Rosenblatt, L. Tejavibulya, R. Jiang, S. Noble, and D. Scheinost, “Data leakage inflates prediction performance in connectome-based machine learning models,” </w:t>
      </w:r>
      <w:r>
        <w:rPr>
          <w:rFonts w:ascii="Times New Roman" w:hAnsi="Times New Roman" w:eastAsia="Times New Roman" w:cs="Times New Roman"/>
          <w:i/>
          <w:iCs/>
          <w:color w:val="000000"/>
          <w:sz w:val="24"/>
          <w:szCs w:val="24"/>
          <w:shd w:val="clear" w:color="auto" w:fill="auto"/>
          <w:rtl w:val="0"/>
        </w:rPr>
        <w:t xml:space="preserve">Nature Communications</w:t>
      </w:r>
      <w:r>
        <w:rPr>
          <w:rFonts w:ascii="Times New Roman" w:hAnsi="Times New Roman" w:eastAsia="Times New Roman" w:cs="Times New Roman"/>
          <w:color w:val="000000"/>
          <w:sz w:val="24"/>
          <w:szCs w:val="24"/>
          <w:shd w:val="clear" w:color="auto" w:fill="auto"/>
          <w:rtl w:val="0"/>
        </w:rPr>
        <w:t xml:space="preserve">, vol. 15, no. 1, p. 1829, Feb. 2024, doi: 10.1038/s41467-024-46150-w.</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64">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z w:val="24"/>
          <w:szCs w:val="24"/>
          <w:shd w:val="clear" w:color="auto" w:fill="auto"/>
          <w:rtl w:val="0"/>
        </w:rPr>
        <w:t xml:space="preserve">[32] C. An, Y. W. Park, S. S. Ahn, K. Han, H. Kim, and S.-K. Lee, “Radiomics machine learning study with a small sample size: Single random training-test set split may lead to unreliable results,” </w:t>
      </w:r>
      <w:r>
        <w:rPr>
          <w:rFonts w:ascii="Times New Roman" w:hAnsi="Times New Roman" w:eastAsia="Times New Roman" w:cs="Times New Roman"/>
          <w:i/>
          <w:iCs/>
          <w:color w:val="000000"/>
          <w:sz w:val="24"/>
          <w:szCs w:val="24"/>
          <w:shd w:val="clear" w:color="auto" w:fill="auto"/>
          <w:rtl w:val="0"/>
        </w:rPr>
        <w:t xml:space="preserve">PLoS ONE</w:t>
      </w:r>
      <w:r>
        <w:rPr>
          <w:rFonts w:ascii="Times New Roman" w:hAnsi="Times New Roman" w:eastAsia="Times New Roman" w:cs="Times New Roman"/>
          <w:color w:val="000000"/>
          <w:sz w:val="24"/>
          <w:szCs w:val="24"/>
          <w:shd w:val="clear" w:color="auto" w:fill="auto"/>
          <w:rtl w:val="0"/>
        </w:rPr>
        <w:t xml:space="preserve">, vol. 16, no. 8, p. e0256152, Aug. 2021, doi: 10.1371/journal.pone.0256152.</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65">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z w:val="24"/>
          <w:szCs w:val="24"/>
          <w:shd w:val="clear" w:color="auto" w:fill="auto"/>
          <w:rtl w:val="0"/>
        </w:rPr>
        <w:t xml:space="preserve">[33] D. Kobak and P. Berens, “The art of using t-SNE for single-cell transcriptomics,” </w:t>
      </w:r>
      <w:r>
        <w:rPr>
          <w:rFonts w:ascii="Times New Roman" w:hAnsi="Times New Roman" w:eastAsia="Times New Roman" w:cs="Times New Roman"/>
          <w:i/>
          <w:iCs/>
          <w:color w:val="000000"/>
          <w:sz w:val="24"/>
          <w:szCs w:val="24"/>
          <w:shd w:val="clear" w:color="auto" w:fill="auto"/>
          <w:rtl w:val="0"/>
        </w:rPr>
        <w:t xml:space="preserve">Nature Communications</w:t>
      </w:r>
      <w:r>
        <w:rPr>
          <w:rFonts w:ascii="Times New Roman" w:hAnsi="Times New Roman" w:eastAsia="Times New Roman" w:cs="Times New Roman"/>
          <w:color w:val="000000"/>
          <w:sz w:val="24"/>
          <w:szCs w:val="24"/>
          <w:shd w:val="clear" w:color="auto" w:fill="auto"/>
          <w:rtl w:val="0"/>
        </w:rPr>
        <w:t xml:space="preserve">, vol. 10, no. 1, p. 5416, Nov. 2019, doi: 10.1038/s41467-019-13056-x.</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66">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hd w:val="clear" w:color="auto" w:fill="auto"/>
        </w:rPr>
      </w:pPr>
      <w:r>
        <w:rPr>
          <w:rFonts w:ascii="Times New Roman" w:hAnsi="Times New Roman" w:eastAsia="Times New Roman" w:cs="Times New Roman"/>
          <w:color w:val="000000"/>
          <w:sz w:val="24"/>
          <w:szCs w:val="24"/>
          <w:shd w:val="clear" w:color="auto" w:fill="auto"/>
          <w:rtl w:val="0"/>
        </w:rPr>
        <w:t xml:space="preserve">[34] S. S. Shobeiri, P. Pezeshkpour, and B. Naseri, “Evaluation of efficiency of weighted average of stability and mean performance estimated by linear mixed models for identifying High‐Yielding Lentil genotypes adapted to rainfed regions,” </w:t>
      </w:r>
      <w:r>
        <w:rPr>
          <w:rFonts w:ascii="Times New Roman" w:hAnsi="Times New Roman" w:eastAsia="Times New Roman" w:cs="Times New Roman"/>
          <w:i/>
          <w:iCs/>
          <w:color w:val="000000"/>
          <w:sz w:val="24"/>
          <w:szCs w:val="24"/>
          <w:shd w:val="clear" w:color="auto" w:fill="auto"/>
          <w:rtl w:val="0"/>
        </w:rPr>
        <w:t xml:space="preserve">Legume Science</w:t>
      </w:r>
      <w:r>
        <w:rPr>
          <w:rFonts w:ascii="Times New Roman" w:hAnsi="Times New Roman" w:eastAsia="Times New Roman" w:cs="Times New Roman"/>
          <w:color w:val="000000"/>
          <w:sz w:val="24"/>
          <w:szCs w:val="24"/>
          <w:shd w:val="clear" w:color="auto" w:fill="auto"/>
          <w:rtl w:val="0"/>
        </w:rPr>
        <w:t xml:space="preserve">, vol. 6, no. 2, Apr. 2024, doi: 10.1002/leg3.226.</w:t>
      </w:r>
      <w:r>
        <w:rPr>
          <w:rFonts w:ascii="Times New Roman" w:hAnsi="Times New Roman" w:cs="Times New Roman"/>
          <w:color w:val="000000"/>
          <w:shd w:val="clear" w:color="auto" w:fill="auto"/>
        </w:rPr>
      </w:r>
      <w:r>
        <w:rPr>
          <w:rFonts w:ascii="Times New Roman" w:hAnsi="Times New Roman" w:cs="Times New Roman"/>
          <w:color w:val="000000"/>
          <w:shd w:val="clear" w:color="auto" w:fill="auto"/>
        </w:rPr>
      </w:r>
    </w:p>
    <w:p w14:paraId="00000267">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z w:val="24"/>
          <w:szCs w:val="24"/>
          <w:shd w:val="clear" w:color="auto" w:fill="auto"/>
        </w:rPr>
      </w:pPr>
      <w:r>
        <w:rPr>
          <w:rFonts w:ascii="Times New Roman" w:hAnsi="Times New Roman" w:eastAsia="Times New Roman" w:cs="Times New Roman"/>
          <w:color w:val="000000"/>
          <w:sz w:val="24"/>
          <w:szCs w:val="24"/>
          <w:shd w:val="clear" w:color="auto" w:fill="auto"/>
          <w:rtl w:val="0"/>
        </w:rPr>
        <w:t xml:space="preserve">[35] A. M. Khan </w:t>
      </w:r>
      <w:r>
        <w:rPr>
          <w:rFonts w:ascii="Times New Roman" w:hAnsi="Times New Roman" w:eastAsia="Times New Roman" w:cs="Times New Roman"/>
          <w:i/>
          <w:iCs/>
          <w:color w:val="000000"/>
          <w:sz w:val="24"/>
          <w:szCs w:val="24"/>
          <w:shd w:val="clear" w:color="auto" w:fill="auto"/>
          <w:rtl w:val="0"/>
        </w:rPr>
        <w:t xml:space="preserve">et al.</w:t>
      </w:r>
      <w:r>
        <w:rPr>
          <w:rFonts w:ascii="Times New Roman" w:hAnsi="Times New Roman" w:eastAsia="Times New Roman" w:cs="Times New Roman"/>
          <w:color w:val="000000"/>
          <w:sz w:val="24"/>
          <w:szCs w:val="24"/>
          <w:shd w:val="clear" w:color="auto" w:fill="auto"/>
          <w:rtl w:val="0"/>
        </w:rPr>
        <w:t xml:space="preserve">, “Genotype × environment interactions analysis for chickpea grain yield and related traits by a mixed model approach,” </w:t>
      </w:r>
      <w:r>
        <w:rPr>
          <w:rFonts w:ascii="Times New Roman" w:hAnsi="Times New Roman" w:eastAsia="Times New Roman" w:cs="Times New Roman"/>
          <w:i/>
          <w:iCs/>
          <w:color w:val="000000"/>
          <w:sz w:val="24"/>
          <w:szCs w:val="24"/>
          <w:shd w:val="clear" w:color="auto" w:fill="auto"/>
          <w:rtl w:val="0"/>
        </w:rPr>
        <w:t xml:space="preserve">Discover Agriculture</w:t>
      </w:r>
      <w:r>
        <w:rPr>
          <w:rFonts w:ascii="Times New Roman" w:hAnsi="Times New Roman" w:eastAsia="Times New Roman" w:cs="Times New Roman"/>
          <w:color w:val="000000"/>
          <w:sz w:val="24"/>
          <w:szCs w:val="24"/>
          <w:shd w:val="clear" w:color="auto" w:fill="auto"/>
          <w:rtl w:val="0"/>
        </w:rPr>
        <w:t xml:space="preserve">, vol. 2, no. 1, Nov. 2024, doi: 10.1007/s44279-024-00110-6.</w:t>
      </w:r>
      <w:r>
        <w:rPr>
          <w:rFonts w:ascii="Times New Roman" w:hAnsi="Times New Roman" w:cs="Times New Roman"/>
          <w:color w:val="000000"/>
          <w:sz w:val="24"/>
          <w:szCs w:val="24"/>
          <w:shd w:val="clear" w:color="auto" w:fill="auto"/>
        </w:rPr>
      </w:r>
      <w:r>
        <w:rPr>
          <w:rFonts w:ascii="Times New Roman" w:hAnsi="Times New Roman" w:cs="Times New Roman"/>
          <w:color w:val="000000"/>
          <w:sz w:val="24"/>
          <w:szCs w:val="24"/>
          <w:shd w:val="clear" w:color="auto" w:fill="auto"/>
        </w:rPr>
      </w:r>
    </w:p>
    <w:p w14:paraId="00000268">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z w:val="24"/>
          <w:szCs w:val="24"/>
          <w:shd w:val="clear" w:color="auto" w:fill="auto"/>
        </w:rPr>
      </w:pPr>
      <w:r>
        <w:rPr>
          <w:rFonts w:ascii="Times New Roman" w:hAnsi="Times New Roman" w:eastAsia="Times New Roman" w:cs="Times New Roman"/>
          <w:color w:val="000000"/>
          <w:sz w:val="24"/>
          <w:szCs w:val="24"/>
          <w:shd w:val="clear" w:color="auto" w:fill="auto"/>
          <w:rtl w:val="0"/>
        </w:rPr>
        <w:t xml:space="preserve">[36] J. Wainer and G. Cawley, “Nested cross-validation when selecting classifiers is overzealous for\n most practical applications,” </w:t>
      </w:r>
      <w:r>
        <w:rPr>
          <w:rFonts w:ascii="Times New Roman" w:hAnsi="Times New Roman" w:eastAsia="Times New Roman" w:cs="Times New Roman"/>
          <w:i/>
          <w:iCs/>
          <w:color w:val="000000"/>
          <w:sz w:val="24"/>
          <w:szCs w:val="24"/>
          <w:shd w:val="clear" w:color="auto" w:fill="auto"/>
          <w:rtl w:val="0"/>
        </w:rPr>
        <w:t xml:space="preserve">arXiv (Cornell University)</w:t>
      </w:r>
      <w:r>
        <w:rPr>
          <w:rFonts w:ascii="Times New Roman" w:hAnsi="Times New Roman" w:eastAsia="Times New Roman" w:cs="Times New Roman"/>
          <w:color w:val="000000"/>
          <w:sz w:val="24"/>
          <w:szCs w:val="24"/>
          <w:shd w:val="clear" w:color="auto" w:fill="auto"/>
          <w:rtl w:val="0"/>
        </w:rPr>
        <w:t xml:space="preserve">, Sep. 2018, doi: 10.48550/arxiv.1809.09446.</w:t>
      </w:r>
      <w:r>
        <w:rPr>
          <w:rFonts w:ascii="Times New Roman" w:hAnsi="Times New Roman" w:cs="Times New Roman"/>
          <w:color w:val="000000"/>
          <w:sz w:val="24"/>
          <w:szCs w:val="24"/>
          <w:shd w:val="clear" w:color="auto" w:fill="auto"/>
        </w:rPr>
      </w:r>
      <w:r>
        <w:rPr>
          <w:rFonts w:ascii="Times New Roman" w:hAnsi="Times New Roman" w:cs="Times New Roman"/>
          <w:color w:val="000000"/>
          <w:sz w:val="24"/>
          <w:szCs w:val="24"/>
          <w:shd w:val="clear" w:color="auto" w:fill="auto"/>
        </w:rPr>
      </w:r>
    </w:p>
    <w:p w14:paraId="00000269">
      <w:pPr>
        <w:pBdr>
          <w:top w:val="none" w:color="000000" w:sz="0" w:space="0"/>
          <w:left w:val="none" w:color="000000" w:sz="0" w:space="0"/>
          <w:bottom w:val="none" w:color="000000" w:sz="0" w:space="0"/>
          <w:right w:val="none" w:color="000000" w:sz="0" w:space="0"/>
        </w:pBdr>
        <w:spacing w:after="0" w:before="0" w:line="240" w:lineRule="auto"/>
        <w:ind w:right="0" w:firstLine="0" w:left="0"/>
        <w:rPr>
          <w:rFonts w:ascii="Times New Roman" w:hAnsi="Times New Roman" w:cs="Times New Roman"/>
        </w:rPr>
      </w:pPr>
      <w:r>
        <w:rPr>
          <w:rFonts w:ascii="Times New Roman" w:hAnsi="Times New Roman" w:eastAsia="Times New Roman" w:cs="Times New Roman"/>
          <w:color w:val="000000"/>
          <w:sz w:val="24"/>
          <w:szCs w:val="24"/>
          <w:shd w:val="clear" w:color="auto" w:fill="auto"/>
          <w:rtl w:val="0"/>
        </w:rPr>
        <w:t xml:space="preserve">[37] </w:t>
      </w:r>
      <w:r>
        <w:rPr>
          <w:rFonts w:ascii="Times New Roman" w:hAnsi="Times New Roman" w:eastAsia="Times New Roman" w:cs="Times New Roman"/>
          <w:color w:val="000000"/>
          <w:sz w:val="24"/>
          <w:szCs w:val="24"/>
          <w:rtl w:val="0"/>
        </w:rPr>
        <w:t xml:space="preserve">M. Arunika, S. Saranya, S. Charulekha, S. Kabilarajan, and G. Kesavan, “A survey on explainable AI using machine learning algorithms ShaP and Lime,” </w:t>
      </w:r>
      <w:r>
        <w:rPr>
          <w:rFonts w:ascii="Times New Roman" w:hAnsi="Times New Roman" w:eastAsia="Times New Roman" w:cs="Times New Roman"/>
          <w:i/>
          <w:iCs/>
          <w:color w:val="000000"/>
          <w:sz w:val="24"/>
          <w:szCs w:val="24"/>
          <w:rtl w:val="0"/>
        </w:rPr>
        <w:t xml:space="preserve">A Survey on Explainable AI Using Machine Learning Algorithms Shap and Lime</w:t>
      </w:r>
      <w:r>
        <w:rPr>
          <w:rFonts w:ascii="Times New Roman" w:hAnsi="Times New Roman" w:eastAsia="Times New Roman" w:cs="Times New Roman"/>
          <w:color w:val="000000"/>
          <w:sz w:val="24"/>
          <w:szCs w:val="24"/>
          <w:rtl w:val="0"/>
        </w:rPr>
        <w:t xml:space="preserve">, pp. 1–6, Jun. 2024, doi: 10.1109/icccnt61001.2024.10725120.</w:t>
      </w:r>
      <w:r>
        <w:rPr>
          <w:rFonts w:ascii="Times New Roman" w:hAnsi="Times New Roman" w:cs="Times New Roman"/>
        </w:rPr>
      </w:r>
      <w:r>
        <w:rPr>
          <w:rFonts w:ascii="Times New Roman" w:hAnsi="Times New Roman" w:cs="Times New Roman"/>
        </w:rPr>
      </w:r>
    </w:p>
    <w:p w14:paraId="0000026A">
      <w:pPr>
        <w:pBdr>
          <w:top w:val="none" w:color="000000" w:sz="0" w:space="0"/>
          <w:left w:val="none" w:color="000000" w:sz="0" w:space="0"/>
          <w:bottom w:val="none" w:color="000000" w:sz="0" w:space="0"/>
          <w:right w:val="none" w:color="000000" w:sz="0" w:space="0"/>
        </w:pBdr>
        <w:shd w:val="clear" w:color="auto" w:fill="auto"/>
        <w:spacing w:after="0" w:before="0" w:line="240" w:lineRule="auto"/>
        <w:ind w:right="0" w:firstLine="0" w:left="0"/>
        <w:rPr>
          <w:rFonts w:ascii="Times New Roman" w:hAnsi="Times New Roman" w:cs="Times New Roman"/>
          <w:color w:val="000000"/>
          <w:sz w:val="24"/>
          <w:szCs w:val="24"/>
          <w:shd w:val="clear" w:color="auto" w:fill="auto"/>
        </w:rPr>
      </w:pPr>
      <w:r>
        <w:rPr>
          <w:rFonts w:ascii="Times New Roman" w:hAnsi="Times New Roman" w:eastAsia="Times New Roman" w:cs="Times New Roman"/>
          <w:rtl w:val="0"/>
        </w:rPr>
      </w:r>
      <w:r>
        <w:rPr>
          <w:rFonts w:ascii="Times New Roman" w:hAnsi="Times New Roman" w:cs="Times New Roman"/>
          <w:color w:val="000000"/>
          <w:sz w:val="24"/>
          <w:szCs w:val="24"/>
          <w:shd w:val="clear" w:color="auto" w:fill="auto"/>
        </w:rPr>
      </w:r>
      <w:r>
        <w:rPr>
          <w:rFonts w:ascii="Times New Roman" w:hAnsi="Times New Roman" w:cs="Times New Roman"/>
          <w:color w:val="000000"/>
          <w:sz w:val="24"/>
          <w:szCs w:val="24"/>
          <w:shd w:val="clear" w:color="auto" w:fill="auto"/>
        </w:rPr>
      </w:r>
    </w:p>
    <w:p w14:paraId="0000026B">
      <w:pPr>
        <w:pBdr>
          <w:top w:val="none" w:color="000000" w:sz="0" w:space="0"/>
          <w:left w:val="none" w:color="000000" w:sz="0" w:space="0"/>
          <w:bottom w:val="none" w:color="000000" w:sz="0" w:space="0"/>
          <w:right w:val="none" w:color="000000" w:sz="0" w:space="0"/>
        </w:pBdr>
        <w:spacing w:after="0" w:before="0" w:line="240" w:lineRule="auto"/>
        <w:ind w:right="0" w:firstLine="0" w:left="0"/>
        <w:rPr>
          <w:rFonts w:ascii="Times New Roman" w:hAnsi="Times New Roman" w:cs="Times New Roman"/>
          <w:sz w:val="24"/>
          <w:szCs w:val="24"/>
        </w:rPr>
      </w:pPr>
      <w:r>
        <w:rPr>
          <w:rFonts w:ascii="Times New Roman" w:hAnsi="Times New Roman" w:eastAsia="Times New Roman" w:cs="Times New Roman"/>
          <w:rtl w:val="0"/>
        </w:rPr>
      </w:r>
      <w:r>
        <w:rPr>
          <w:rFonts w:ascii="Times New Roman" w:hAnsi="Times New Roman" w:cs="Times New Roman"/>
          <w:sz w:val="24"/>
          <w:szCs w:val="24"/>
        </w:rPr>
      </w:r>
      <w:r>
        <w:rPr>
          <w:rFonts w:ascii="Times New Roman" w:hAnsi="Times New Roman" w:cs="Times New Roman"/>
          <w:sz w:val="24"/>
          <w:szCs w:val="24"/>
        </w:rPr>
      </w:r>
    </w:p>
    <w:p w14:paraId="0000026C">
      <w:pPr>
        <w:keepNext w:val="false"/>
        <w:keepLines w:val="false"/>
        <w:pageBreakBefore w:val="false"/>
        <w:widowControl w:val="true"/>
        <w:pBdr/>
        <w:shd w:val="clear" w:color="auto" w:fill="auto"/>
        <w:spacing w:after="180" w:before="180" w:line="240" w:lineRule="auto"/>
        <w:ind w:right="0" w:firstLine="0" w:left="0"/>
        <w:jc w:val="both"/>
        <w:rPr>
          <w:rFonts w:ascii="Times New Roman" w:hAnsi="Times New Roman" w:cs="Times New Roman"/>
          <w:color w:val="000000"/>
          <w:sz w:val="24"/>
          <w:szCs w:val="24"/>
        </w:rPr>
      </w:pPr>
      <w:r>
        <w:rPr>
          <w:rFonts w:ascii="Times New Roman" w:hAnsi="Times New Roman" w:eastAsia="Times New Roman" w:cs="Times New Roman"/>
          <w:rtl w:val="0"/>
        </w:rPr>
      </w:r>
      <w:r>
        <w:rPr>
          <w:rFonts w:ascii="Times New Roman" w:hAnsi="Times New Roman" w:cs="Times New Roman"/>
          <w:color w:val="000000"/>
          <w:sz w:val="24"/>
          <w:szCs w:val="24"/>
        </w:rPr>
      </w:r>
      <w:r>
        <w:rPr>
          <w:rFonts w:ascii="Times New Roman" w:hAnsi="Times New Roman" w:cs="Times New Roman"/>
          <w:color w:val="000000"/>
          <w:sz w:val="24"/>
          <w:szCs w:val="24"/>
        </w:rPr>
      </w:r>
    </w:p>
    <w:sectPr>
      <w:footnotePr/>
      <w:endnotePr/>
      <w:type w:val="nextPage"/>
      <w:pgSz w:h="16838" w:orient="portrait" w:w="11906"/>
      <w:pgMar w:top="1134" w:right="1385" w:bottom="1134" w:left="1431" w:header="709" w:footer="709"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mbria" w:hAnsi="Cambria" w:eastAsia="Cambria" w:cs="Cambria"/>
        <w:sz w:val="24"/>
        <w:szCs w:val="24"/>
        <w:lang w:val="en"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91"/>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92"/>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93"/>
    <w:uiPriority w:val="9"/>
    <w:pPr>
      <w:pBdr/>
      <w:spacing/>
      <w:ind/>
    </w:pPr>
    <w:rPr>
      <w:rFonts w:ascii="Arial" w:hAnsi="Arial" w:eastAsia="Arial" w:cs="Arial"/>
      <w:i/>
      <w:iCs/>
      <w:color w:val="0f4761" w:themeColor="accent1" w:themeShade="BF"/>
    </w:rPr>
  </w:style>
  <w:style w:type="character" w:styleId="843">
    <w:name w:val="Heading 5 Char"/>
    <w:basedOn w:val="837"/>
    <w:link w:val="894"/>
    <w:uiPriority w:val="9"/>
    <w:pPr>
      <w:pBdr/>
      <w:spacing/>
      <w:ind/>
    </w:pPr>
    <w:rPr>
      <w:rFonts w:ascii="Arial" w:hAnsi="Arial" w:eastAsia="Arial" w:cs="Arial"/>
      <w:color w:val="0f4761" w:themeColor="accent1" w:themeShade="BF"/>
    </w:rPr>
  </w:style>
  <w:style w:type="character" w:styleId="844">
    <w:name w:val="Heading 6 Char"/>
    <w:basedOn w:val="837"/>
    <w:link w:val="895"/>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character" w:styleId="848">
    <w:name w:val="Title Char"/>
    <w:basedOn w:val="837"/>
    <w:link w:val="896"/>
    <w:uiPriority w:val="10"/>
    <w:pPr>
      <w:pBdr/>
      <w:spacing/>
      <w:ind/>
    </w:pPr>
    <w:rPr>
      <w:rFonts w:ascii="Arial" w:hAnsi="Arial" w:eastAsia="Arial" w:cs="Arial"/>
      <w:spacing w:val="-10"/>
      <w:sz w:val="56"/>
      <w:szCs w:val="56"/>
    </w:rPr>
  </w:style>
  <w:style w:type="character" w:styleId="849">
    <w:name w:val="Subtitle Char"/>
    <w:basedOn w:val="837"/>
    <w:link w:val="897"/>
    <w:uiPriority w:val="11"/>
    <w:pPr>
      <w:pBdr/>
      <w:spacing/>
      <w:ind/>
    </w:pPr>
    <w:rPr>
      <w:color w:val="595959" w:themeColor="text1" w:themeTint="A6"/>
      <w:spacing w:val="15"/>
      <w:sz w:val="28"/>
      <w:szCs w:val="28"/>
    </w:rPr>
  </w:style>
  <w:style w:type="paragraph" w:styleId="850">
    <w:name w:val="Quote"/>
    <w:basedOn w:val="889"/>
    <w:next w:val="889"/>
    <w:link w:val="851"/>
    <w:uiPriority w:val="29"/>
    <w:qFormat/>
    <w:pPr>
      <w:pBdr/>
      <w:spacing w:before="160"/>
      <w:ind/>
      <w:jc w:val="center"/>
    </w:pPr>
    <w:rPr>
      <w:i/>
      <w:iCs/>
      <w:color w:val="404040" w:themeColor="text1" w:themeTint="BF"/>
    </w:rPr>
  </w:style>
  <w:style w:type="character" w:styleId="851">
    <w:name w:val="Quote Char"/>
    <w:basedOn w:val="837"/>
    <w:link w:val="850"/>
    <w:uiPriority w:val="29"/>
    <w:pPr>
      <w:pBdr/>
      <w:spacing/>
      <w:ind/>
    </w:pPr>
    <w:rPr>
      <w:i/>
      <w:iCs/>
      <w:color w:val="404040" w:themeColor="text1" w:themeTint="BF"/>
    </w:rPr>
  </w:style>
  <w:style w:type="paragraph" w:styleId="852">
    <w:name w:val="List Paragraph"/>
    <w:basedOn w:val="889"/>
    <w:uiPriority w:val="34"/>
    <w:qFormat/>
    <w:pPr>
      <w:pBdr/>
      <w:spacing/>
      <w:ind w:left="720"/>
      <w:contextualSpacing w:val="true"/>
    </w:pPr>
  </w:style>
  <w:style w:type="character" w:styleId="853">
    <w:name w:val="Intense Emphasis"/>
    <w:basedOn w:val="837"/>
    <w:uiPriority w:val="21"/>
    <w:qFormat/>
    <w:pPr>
      <w:pBdr/>
      <w:spacing/>
      <w:ind/>
    </w:pPr>
    <w:rPr>
      <w:i/>
      <w:iCs/>
      <w:color w:val="0f4761" w:themeColor="accent1" w:themeShade="BF"/>
    </w:rPr>
  </w:style>
  <w:style w:type="paragraph" w:styleId="854">
    <w:name w:val="Intense Quote"/>
    <w:basedOn w:val="889"/>
    <w:next w:val="889"/>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37"/>
    <w:link w:val="854"/>
    <w:uiPriority w:val="30"/>
    <w:pPr>
      <w:pBdr/>
      <w:spacing/>
      <w:ind/>
    </w:pPr>
    <w:rPr>
      <w:i/>
      <w:iCs/>
      <w:color w:val="0f4761" w:themeColor="accent1" w:themeShade="BF"/>
    </w:rPr>
  </w:style>
  <w:style w:type="character" w:styleId="856">
    <w:name w:val="Intense Reference"/>
    <w:basedOn w:val="837"/>
    <w:uiPriority w:val="32"/>
    <w:qFormat/>
    <w:pPr>
      <w:pBdr/>
      <w:spacing/>
      <w:ind/>
    </w:pPr>
    <w:rPr>
      <w:b/>
      <w:bCs/>
      <w:smallCaps/>
      <w:color w:val="0f4761" w:themeColor="accent1" w:themeShade="BF"/>
      <w:spacing w:val="5"/>
    </w:rPr>
  </w:style>
  <w:style w:type="paragraph" w:styleId="857">
    <w:name w:val="No Spacing"/>
    <w:basedOn w:val="889"/>
    <w:uiPriority w:val="1"/>
    <w:qFormat/>
    <w:pPr>
      <w:pBdr/>
      <w:spacing w:after="0" w:line="240" w:lineRule="auto"/>
      <w:ind/>
    </w:pPr>
  </w:style>
  <w:style w:type="character" w:styleId="858">
    <w:name w:val="Subtle Emphasis"/>
    <w:basedOn w:val="837"/>
    <w:uiPriority w:val="19"/>
    <w:qFormat/>
    <w:pPr>
      <w:pBdr/>
      <w:spacing/>
      <w:ind/>
    </w:pPr>
    <w:rPr>
      <w:i/>
      <w:iCs/>
      <w:color w:val="404040" w:themeColor="text1" w:themeTint="BF"/>
    </w:rPr>
  </w:style>
  <w:style w:type="character" w:styleId="859">
    <w:name w:val="Emphasis"/>
    <w:basedOn w:val="837"/>
    <w:uiPriority w:val="20"/>
    <w:qFormat/>
    <w:pPr>
      <w:pBdr/>
      <w:spacing/>
      <w:ind/>
    </w:pPr>
    <w:rPr>
      <w:i/>
      <w:iCs/>
    </w:rPr>
  </w:style>
  <w:style w:type="character" w:styleId="860">
    <w:name w:val="Strong"/>
    <w:basedOn w:val="837"/>
    <w:uiPriority w:val="22"/>
    <w:qFormat/>
    <w:pPr>
      <w:pBdr/>
      <w:spacing/>
      <w:ind/>
    </w:pPr>
    <w:rPr>
      <w:b/>
      <w:bCs/>
    </w:rPr>
  </w:style>
  <w:style w:type="character" w:styleId="861">
    <w:name w:val="Subtle Reference"/>
    <w:basedOn w:val="837"/>
    <w:uiPriority w:val="31"/>
    <w:qFormat/>
    <w:pPr>
      <w:pBdr/>
      <w:spacing/>
      <w:ind/>
    </w:pPr>
    <w:rPr>
      <w:smallCaps/>
      <w:color w:val="5a5a5a" w:themeColor="text1" w:themeTint="A5"/>
    </w:rPr>
  </w:style>
  <w:style w:type="character" w:styleId="862">
    <w:name w:val="Book Title"/>
    <w:basedOn w:val="837"/>
    <w:uiPriority w:val="33"/>
    <w:qFormat/>
    <w:pPr>
      <w:pBdr/>
      <w:spacing/>
      <w:ind/>
    </w:pPr>
    <w:rPr>
      <w:b/>
      <w:bCs/>
      <w:i/>
      <w:iCs/>
      <w:spacing w:val="5"/>
    </w:rPr>
  </w:style>
  <w:style w:type="paragraph" w:styleId="863">
    <w:name w:val="Header"/>
    <w:basedOn w:val="889"/>
    <w:link w:val="864"/>
    <w:uiPriority w:val="99"/>
    <w:unhideWhenUsed/>
    <w:pPr>
      <w:pBdr/>
      <w:tabs>
        <w:tab w:val="center" w:leader="none" w:pos="4844"/>
        <w:tab w:val="right" w:leader="none" w:pos="9689"/>
      </w:tabs>
      <w:spacing w:after="0" w:line="240" w:lineRule="auto"/>
      <w:ind/>
    </w:pPr>
  </w:style>
  <w:style w:type="character" w:styleId="864">
    <w:name w:val="Header Char"/>
    <w:basedOn w:val="837"/>
    <w:link w:val="863"/>
    <w:uiPriority w:val="99"/>
    <w:pPr>
      <w:pBdr/>
      <w:spacing/>
      <w:ind/>
    </w:pPr>
  </w:style>
  <w:style w:type="paragraph" w:styleId="865">
    <w:name w:val="Footer"/>
    <w:basedOn w:val="889"/>
    <w:link w:val="866"/>
    <w:uiPriority w:val="99"/>
    <w:unhideWhenUsed/>
    <w:pPr>
      <w:pBdr/>
      <w:tabs>
        <w:tab w:val="center" w:leader="none" w:pos="4844"/>
        <w:tab w:val="right" w:leader="none" w:pos="9689"/>
      </w:tabs>
      <w:spacing w:after="0" w:line="240" w:lineRule="auto"/>
      <w:ind/>
    </w:pPr>
  </w:style>
  <w:style w:type="character" w:styleId="866">
    <w:name w:val="Footer Char"/>
    <w:basedOn w:val="837"/>
    <w:link w:val="865"/>
    <w:uiPriority w:val="99"/>
    <w:pPr>
      <w:pBdr/>
      <w:spacing/>
      <w:ind/>
    </w:pPr>
  </w:style>
  <w:style w:type="paragraph" w:styleId="867">
    <w:name w:val="Caption"/>
    <w:basedOn w:val="889"/>
    <w:next w:val="889"/>
    <w:uiPriority w:val="35"/>
    <w:unhideWhenUsed/>
    <w:qFormat/>
    <w:pPr>
      <w:pBdr/>
      <w:spacing w:after="200" w:line="240" w:lineRule="auto"/>
      <w:ind/>
    </w:pPr>
    <w:rPr>
      <w:i/>
      <w:iCs/>
      <w:color w:val="0e2841" w:themeColor="text2"/>
      <w:sz w:val="18"/>
      <w:szCs w:val="18"/>
    </w:rPr>
  </w:style>
  <w:style w:type="paragraph" w:styleId="868">
    <w:name w:val="footnote text"/>
    <w:basedOn w:val="889"/>
    <w:link w:val="869"/>
    <w:uiPriority w:val="99"/>
    <w:semiHidden/>
    <w:unhideWhenUsed/>
    <w:pPr>
      <w:pBdr/>
      <w:spacing w:after="0" w:line="240" w:lineRule="auto"/>
      <w:ind/>
    </w:pPr>
    <w:rPr>
      <w:sz w:val="20"/>
      <w:szCs w:val="20"/>
    </w:rPr>
  </w:style>
  <w:style w:type="character" w:styleId="869">
    <w:name w:val="Footnote Text Char"/>
    <w:basedOn w:val="837"/>
    <w:link w:val="868"/>
    <w:uiPriority w:val="99"/>
    <w:semiHidden/>
    <w:pPr>
      <w:pBdr/>
      <w:spacing/>
      <w:ind/>
    </w:pPr>
    <w:rPr>
      <w:sz w:val="20"/>
      <w:szCs w:val="20"/>
    </w:rPr>
  </w:style>
  <w:style w:type="character" w:styleId="870">
    <w:name w:val="footnote reference"/>
    <w:basedOn w:val="837"/>
    <w:uiPriority w:val="99"/>
    <w:semiHidden/>
    <w:unhideWhenUsed/>
    <w:pPr>
      <w:pBdr/>
      <w:spacing/>
      <w:ind/>
    </w:pPr>
    <w:rPr>
      <w:vertAlign w:val="superscript"/>
    </w:rPr>
  </w:style>
  <w:style w:type="paragraph" w:styleId="871">
    <w:name w:val="endnote text"/>
    <w:basedOn w:val="889"/>
    <w:link w:val="872"/>
    <w:uiPriority w:val="99"/>
    <w:semiHidden/>
    <w:unhideWhenUsed/>
    <w:pPr>
      <w:pBdr/>
      <w:spacing w:after="0" w:line="240" w:lineRule="auto"/>
      <w:ind/>
    </w:pPr>
    <w:rPr>
      <w:sz w:val="20"/>
      <w:szCs w:val="20"/>
    </w:rPr>
  </w:style>
  <w:style w:type="character" w:styleId="872">
    <w:name w:val="Endnote Text Char"/>
    <w:basedOn w:val="837"/>
    <w:link w:val="871"/>
    <w:uiPriority w:val="99"/>
    <w:semiHidden/>
    <w:pPr>
      <w:pBdr/>
      <w:spacing/>
      <w:ind/>
    </w:pPr>
    <w:rPr>
      <w:sz w:val="20"/>
      <w:szCs w:val="20"/>
    </w:rPr>
  </w:style>
  <w:style w:type="character" w:styleId="873">
    <w:name w:val="endnote reference"/>
    <w:basedOn w:val="837"/>
    <w:uiPriority w:val="99"/>
    <w:semiHidden/>
    <w:unhideWhenUsed/>
    <w:pPr>
      <w:pBdr/>
      <w:spacing/>
      <w:ind/>
    </w:pPr>
    <w:rPr>
      <w:vertAlign w:val="superscript"/>
    </w:rPr>
  </w:style>
  <w:style w:type="character" w:styleId="874">
    <w:name w:val="Hyperlink"/>
    <w:basedOn w:val="837"/>
    <w:uiPriority w:val="99"/>
    <w:unhideWhenUsed/>
    <w:pPr>
      <w:pBdr/>
      <w:spacing/>
      <w:ind/>
    </w:pPr>
    <w:rPr>
      <w:color w:val="0563c1" w:themeColor="hyperlink"/>
      <w:u w:val="single"/>
    </w:rPr>
  </w:style>
  <w:style w:type="character" w:styleId="875">
    <w:name w:val="FollowedHyperlink"/>
    <w:basedOn w:val="837"/>
    <w:uiPriority w:val="99"/>
    <w:semiHidden/>
    <w:unhideWhenUsed/>
    <w:pPr>
      <w:pBdr/>
      <w:spacing/>
      <w:ind/>
    </w:pPr>
    <w:rPr>
      <w:color w:val="954f72" w:themeColor="followedHyperlink"/>
      <w:u w:val="single"/>
    </w:rPr>
  </w:style>
  <w:style w:type="paragraph" w:styleId="876">
    <w:name w:val="toc 1"/>
    <w:basedOn w:val="889"/>
    <w:next w:val="889"/>
    <w:uiPriority w:val="39"/>
    <w:unhideWhenUsed/>
    <w:pPr>
      <w:pBdr/>
      <w:spacing w:after="100"/>
      <w:ind/>
    </w:pPr>
  </w:style>
  <w:style w:type="paragraph" w:styleId="877">
    <w:name w:val="toc 2"/>
    <w:basedOn w:val="889"/>
    <w:next w:val="889"/>
    <w:uiPriority w:val="39"/>
    <w:unhideWhenUsed/>
    <w:pPr>
      <w:pBdr/>
      <w:spacing w:after="100"/>
      <w:ind w:left="220"/>
    </w:pPr>
  </w:style>
  <w:style w:type="paragraph" w:styleId="878">
    <w:name w:val="toc 3"/>
    <w:basedOn w:val="889"/>
    <w:next w:val="889"/>
    <w:uiPriority w:val="39"/>
    <w:unhideWhenUsed/>
    <w:pPr>
      <w:pBdr/>
      <w:spacing w:after="100"/>
      <w:ind w:left="440"/>
    </w:pPr>
  </w:style>
  <w:style w:type="paragraph" w:styleId="879">
    <w:name w:val="toc 4"/>
    <w:basedOn w:val="889"/>
    <w:next w:val="889"/>
    <w:uiPriority w:val="39"/>
    <w:unhideWhenUsed/>
    <w:pPr>
      <w:pBdr/>
      <w:spacing w:after="100"/>
      <w:ind w:left="660"/>
    </w:pPr>
  </w:style>
  <w:style w:type="paragraph" w:styleId="880">
    <w:name w:val="toc 5"/>
    <w:basedOn w:val="889"/>
    <w:next w:val="889"/>
    <w:uiPriority w:val="39"/>
    <w:unhideWhenUsed/>
    <w:pPr>
      <w:pBdr/>
      <w:spacing w:after="100"/>
      <w:ind w:left="880"/>
    </w:pPr>
  </w:style>
  <w:style w:type="paragraph" w:styleId="881">
    <w:name w:val="toc 6"/>
    <w:basedOn w:val="889"/>
    <w:next w:val="889"/>
    <w:uiPriority w:val="39"/>
    <w:unhideWhenUsed/>
    <w:pPr>
      <w:pBdr/>
      <w:spacing w:after="100"/>
      <w:ind w:left="1100"/>
    </w:pPr>
  </w:style>
  <w:style w:type="paragraph" w:styleId="882">
    <w:name w:val="toc 7"/>
    <w:basedOn w:val="889"/>
    <w:next w:val="889"/>
    <w:uiPriority w:val="39"/>
    <w:unhideWhenUsed/>
    <w:pPr>
      <w:pBdr/>
      <w:spacing w:after="100"/>
      <w:ind w:left="1320"/>
    </w:pPr>
  </w:style>
  <w:style w:type="paragraph" w:styleId="883">
    <w:name w:val="toc 8"/>
    <w:basedOn w:val="889"/>
    <w:next w:val="889"/>
    <w:uiPriority w:val="39"/>
    <w:unhideWhenUsed/>
    <w:pPr>
      <w:pBdr/>
      <w:spacing w:after="100"/>
      <w:ind w:left="1540"/>
    </w:pPr>
  </w:style>
  <w:style w:type="paragraph" w:styleId="884">
    <w:name w:val="toc 9"/>
    <w:basedOn w:val="889"/>
    <w:next w:val="889"/>
    <w:uiPriority w:val="39"/>
    <w:unhideWhenUsed/>
    <w:pPr>
      <w:pBdr/>
      <w:spacing w:after="100"/>
      <w:ind w:left="1760"/>
    </w:pPr>
  </w:style>
  <w:style w:type="character" w:styleId="885">
    <w:name w:val="Placeholder Text"/>
    <w:basedOn w:val="837"/>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9"/>
    <w:next w:val="889"/>
    <w:uiPriority w:val="99"/>
    <w:unhideWhenUsed/>
    <w:pPr>
      <w:pBdr/>
      <w:spacing w:after="0" w:afterAutospacing="0"/>
      <w:ind/>
    </w:pPr>
  </w:style>
  <w:style w:type="table" w:styleId="88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default="1">
    <w:name w:val="Normal"/>
    <w:pPr>
      <w:pBdr/>
      <w:spacing/>
      <w:ind/>
    </w:pPr>
  </w:style>
  <w:style w:type="paragraph" w:styleId="890">
    <w:name w:val="Heading 1"/>
    <w:basedOn w:val="889"/>
    <w:next w:val="889"/>
    <w:pPr>
      <w:keepNext w:val="true"/>
      <w:keepLines w:val="true"/>
      <w:pBdr/>
      <w:spacing w:after="0" w:before="480"/>
      <w:ind/>
    </w:pPr>
    <w:rPr>
      <w:rFonts w:ascii="Calibri" w:hAnsi="Calibri" w:eastAsia="Calibri" w:cs="Calibri"/>
      <w:b/>
      <w:bCs/>
      <w:color w:val="4f81bd"/>
      <w:sz w:val="32"/>
      <w:szCs w:val="32"/>
    </w:rPr>
  </w:style>
  <w:style w:type="paragraph" w:styleId="891">
    <w:name w:val="Heading 2"/>
    <w:basedOn w:val="889"/>
    <w:next w:val="889"/>
    <w:pPr>
      <w:keepNext w:val="true"/>
      <w:keepLines w:val="true"/>
      <w:pBdr/>
      <w:spacing w:after="0" w:before="200"/>
      <w:ind/>
    </w:pPr>
    <w:rPr>
      <w:rFonts w:ascii="Calibri" w:hAnsi="Calibri" w:eastAsia="Calibri" w:cs="Calibri"/>
      <w:b/>
      <w:bCs/>
      <w:color w:val="4f81bd"/>
      <w:sz w:val="28"/>
      <w:szCs w:val="28"/>
    </w:rPr>
  </w:style>
  <w:style w:type="paragraph" w:styleId="892">
    <w:name w:val="Heading 3"/>
    <w:basedOn w:val="889"/>
    <w:next w:val="889"/>
    <w:pPr>
      <w:keepNext w:val="true"/>
      <w:keepLines w:val="true"/>
      <w:pBdr/>
      <w:spacing w:after="0" w:before="200"/>
      <w:ind/>
    </w:pPr>
    <w:rPr>
      <w:rFonts w:ascii="Calibri" w:hAnsi="Calibri" w:eastAsia="Calibri" w:cs="Calibri"/>
      <w:b/>
      <w:bCs/>
      <w:color w:val="4f81bd"/>
      <w:sz w:val="24"/>
      <w:szCs w:val="24"/>
    </w:rPr>
  </w:style>
  <w:style w:type="paragraph" w:styleId="893">
    <w:name w:val="Heading 4"/>
    <w:basedOn w:val="889"/>
    <w:next w:val="889"/>
    <w:pPr>
      <w:keepNext w:val="true"/>
      <w:keepLines w:val="true"/>
      <w:pBdr/>
      <w:spacing w:after="0" w:before="200"/>
      <w:ind/>
    </w:pPr>
    <w:rPr>
      <w:rFonts w:ascii="Calibri" w:hAnsi="Calibri" w:eastAsia="Calibri" w:cs="Calibri"/>
      <w:i/>
      <w:iCs/>
      <w:color w:val="4f81bd"/>
      <w:sz w:val="24"/>
      <w:szCs w:val="24"/>
    </w:rPr>
  </w:style>
  <w:style w:type="paragraph" w:styleId="894">
    <w:name w:val="Heading 5"/>
    <w:basedOn w:val="889"/>
    <w:next w:val="889"/>
    <w:pPr>
      <w:keepNext w:val="true"/>
      <w:keepLines w:val="true"/>
      <w:pBdr/>
      <w:spacing w:after="0" w:before="200"/>
      <w:ind/>
    </w:pPr>
    <w:rPr>
      <w:rFonts w:ascii="Calibri" w:hAnsi="Calibri" w:eastAsia="Calibri" w:cs="Calibri"/>
      <w:color w:val="4f81bd"/>
      <w:sz w:val="24"/>
      <w:szCs w:val="24"/>
    </w:rPr>
  </w:style>
  <w:style w:type="paragraph" w:styleId="895">
    <w:name w:val="Heading 6"/>
    <w:basedOn w:val="889"/>
    <w:next w:val="889"/>
    <w:pPr>
      <w:keepNext w:val="true"/>
      <w:keepLines w:val="true"/>
      <w:pBdr/>
      <w:spacing w:after="0" w:before="200"/>
      <w:ind/>
    </w:pPr>
    <w:rPr>
      <w:rFonts w:ascii="Calibri" w:hAnsi="Calibri" w:eastAsia="Calibri" w:cs="Calibri"/>
      <w:color w:val="4f81bd"/>
      <w:sz w:val="24"/>
      <w:szCs w:val="24"/>
    </w:rPr>
  </w:style>
  <w:style w:type="paragraph" w:styleId="896">
    <w:name w:val="Title"/>
    <w:basedOn w:val="889"/>
    <w:next w:val="889"/>
    <w:pPr>
      <w:keepNext w:val="true"/>
      <w:keepLines w:val="true"/>
      <w:pBdr/>
      <w:spacing w:after="240" w:before="480"/>
      <w:ind/>
      <w:jc w:val="center"/>
    </w:pPr>
    <w:rPr>
      <w:rFonts w:ascii="Calibri" w:hAnsi="Calibri" w:eastAsia="Calibri" w:cs="Calibri"/>
      <w:b/>
      <w:bCs/>
      <w:color w:val="335b8a"/>
      <w:sz w:val="36"/>
      <w:szCs w:val="36"/>
    </w:rPr>
  </w:style>
  <w:style w:type="paragraph" w:styleId="897">
    <w:name w:val="Subtitle"/>
    <w:basedOn w:val="889"/>
    <w:next w:val="889"/>
    <w:pPr>
      <w:keepNext w:val="true"/>
      <w:keepLines w:val="true"/>
      <w:pBdr/>
      <w:spacing w:after="240" w:before="240"/>
      <w:ind/>
      <w:jc w:val="center"/>
    </w:pPr>
    <w:rPr>
      <w:rFonts w:ascii="Calibri" w:hAnsi="Calibri" w:eastAsia="Calibri" w:cs="Calibri"/>
      <w:b/>
      <w:bCs/>
      <w:color w:val="335b8a"/>
      <w:sz w:val="30"/>
      <w:szCs w:val="30"/>
    </w:rPr>
  </w:style>
  <w:style w:type="table" w:styleId="898">
    <w:name w:val="StGen0"/>
    <w:basedOn w:val="88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StGen1"/>
    <w:basedOn w:val="88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StGen2"/>
    <w:basedOn w:val="88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StGen3"/>
    <w:basedOn w:val="88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2026-07-03T09:11:56Z</dcterms:modified>
</cp:coreProperties>
</file>