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Car Policy: Bedrijfsvoertuigen &amp; Mobiliteit</w:t>
      </w:r>
    </w:p>
    <w:p>
      <w:pPr>
        <w:pStyle w:val="Heading2"/>
      </w:pPr>
      <w:r>
        <w:t xml:space="preserve">1. Doelstelling</w:t>
      </w:r>
    </w:p>
    <w:p>
      <w:pPr>
        <w:spacing w:after="200"/>
      </w:pPr>
      <w:r>
        <w:t xml:space="preserve">Deze policy legt de regels en richtlijnen vast voor het gebruik van bedrijfsvoertuigen binnen de organisatie. Het doel is om medewerkers te voorzien van een veilig, efficiënt en milieuvriendelijk vervoermiddel dat past bij hun functie-eisen.</w:t>
      </w:r>
    </w:p>
    <w:p>
      <w:pPr>
        <w:pStyle w:val="Heading2"/>
      </w:pPr>
      <w:r>
        <w:t xml:space="preserve">2. Categorieën en Budgetten</w:t>
      </w:r>
    </w:p>
    <w:p>
      <w:pPr>
        <w:spacing w:after="120"/>
      </w:pPr>
      <w:r>
        <w:t xml:space="preserve">Het recht op een bedrijfswagen en het bijbehorende budget wordt bepaald op basis van de functiecategorie.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shd w:fill="D9D9D9" w:val="clear"/>
          </w:tcPr>
          <w:p>
            <w:r>
              <w:rPr>
                <w:b/>
                <w:bCs/>
              </w:rPr>
              <w:t xml:space="preserve">Functie</w:t>
            </w:r>
          </w:p>
        </w:tc>
        <w:tc>
          <w:tcPr>
            <w:tcW w:type="dxa" w:w="3500"/>
            <w:shd w:fill="D9D9D9" w:val="clear"/>
          </w:tcPr>
          <w:p>
            <w:r>
              <w:rPr>
                <w:b/>
                <w:bCs/>
              </w:rPr>
              <w:t xml:space="preserve">Maandelijks Leasebudget (TCO)</w:t>
            </w:r>
          </w:p>
        </w:tc>
        <w:tc>
          <w:tcPr>
            <w:tcW w:type="dxa" w:w="3000"/>
            <w:shd w:fill="D9D9D9" w:val="clear"/>
          </w:tcPr>
          <w:p>
            <w:r>
              <w:rPr>
                <w:b/>
                <w:bCs/>
              </w:rPr>
              <w:t xml:space="preserve">Type Voertuig</w:t>
            </w:r>
          </w:p>
        </w:tc>
      </w:tr>
      <w:tr>
        <w:tc>
          <w:tcPr>
            <w:tcW w:type="dxa" w:w="2500"/>
          </w:tcPr>
          <w:p>
            <w:r>
              <w:t xml:space="preserve">AI Developer</w:t>
            </w:r>
          </w:p>
        </w:tc>
        <w:tc>
          <w:tcPr>
            <w:tcW w:type="dxa" w:w="3500"/>
          </w:tcPr>
          <w:p>
            <w:r>
              <w:t xml:space="preserve">€ 750 excl. BTW</w:t>
            </w:r>
          </w:p>
        </w:tc>
        <w:tc>
          <w:tcPr>
            <w:tcW w:type="dxa" w:w="3000"/>
          </w:tcPr>
          <w:p>
            <w:r>
              <w:t xml:space="preserve">Elektrisch / Full Hybrid</w:t>
            </w:r>
          </w:p>
        </w:tc>
      </w:tr>
    </w:tbl>
    <w:p>
      <w:pPr>
        <w:spacing w:after="200" w:before="200"/>
      </w:pPr>
      <w:r>
        <w:rPr>
          <w:b/>
          <w:bCs/>
        </w:rPr>
        <w:t xml:space="preserve">Opmerking over TCO: </w:t>
      </w:r>
      <w:r>
        <w:t xml:space="preserve">Het budget wordt berekend op basis van de Total Cost of Ownership. Dit omvat de leaseprijs, verzekering, taksen, onderhoud, banden en de energetische kost (elektriciteit/brandstof).</w:t>
      </w:r>
    </w:p>
    <w:p>
      <w:pPr>
        <w:pStyle w:val="Heading2"/>
      </w:pPr>
      <w:r>
        <w:t xml:space="preserve">3. Vergroening &amp; Fiscaliteit</w:t>
      </w:r>
    </w:p>
    <w:p>
      <w:pPr>
        <w:spacing w:after="120"/>
      </w:pPr>
      <w:r>
        <w:t xml:space="preserve">Conform de Belgische wetgeving inzake de fiscaliteit van bedrijfswagens, worden enkel 100% elektrische voertuigen (zero-emissie) besteld. Dit garandeert:</w:t>
      </w:r>
    </w:p>
    <w:p>
      <w:pPr>
        <w:pStyle w:val="ListParagraph"/>
        <w:numPr>
          <w:ilvl w:val="0"/>
          <w:numId w:val="2"/>
        </w:numPr>
      </w:pPr>
      <w:r>
        <w:t xml:space="preserve">Maximale fiscale aftrekbaarheid voor de werkgever.</w:t>
      </w:r>
    </w:p>
    <w:p>
      <w:pPr>
        <w:pStyle w:val="ListParagraph"/>
        <w:numPr>
          <w:ilvl w:val="0"/>
          <w:numId w:val="2"/>
        </w:numPr>
      </w:pPr>
      <w:r>
        <w:rPr>
          <w:b w:val="false"/>
          <w:bCs w:val="false"/>
        </w:rPr>
        <w:t xml:space="preserve">Een gunstig Voordeel van Alle Aard (VAA) </w:t>
      </w:r>
      <w:r>
        <w:t xml:space="preserve">voor de werknemer.</w:t>
      </w:r>
    </w:p>
    <w:p>
      <w:pPr>
        <w:pStyle w:val="Heading2"/>
        <w:spacing w:before="200"/>
      </w:pPr>
      <w:r>
        <w:t xml:space="preserve">4. Gebruik en Onderhoud</w:t>
      </w:r>
    </w:p>
    <w:p>
      <w:pPr>
        <w:pStyle w:val="ListParagraph"/>
        <w:numPr>
          <w:ilvl w:val="0"/>
          <w:numId w:val="2"/>
        </w:numPr>
      </w:pPr>
      <w:r>
        <w:rPr>
          <w:b/>
          <w:bCs/>
        </w:rPr>
        <w:t xml:space="preserve">Privégebruik: </w:t>
      </w:r>
      <w:r>
        <w:t xml:space="preserve">De wagen mag onbeperkt voor privédoeleinden worden gebruikt (binnen de EU), mits naleving van de verkeersregels.</w:t>
      </w:r>
    </w:p>
    <w:p>
      <w:pPr>
        <w:pStyle w:val="ListParagraph"/>
        <w:numPr>
          <w:ilvl w:val="0"/>
          <w:numId w:val="2"/>
        </w:numPr>
      </w:pPr>
      <w:r>
        <w:rPr>
          <w:b/>
          <w:bCs/>
        </w:rPr>
        <w:t xml:space="preserve">Goede huisvader: </w:t>
      </w:r>
      <w:r>
        <w:t xml:space="preserve">De werknemer verbindt zich ertoe het voertuig als een "goede huisvader" te beheren. Dit houdt in: regelmatige controle van bandenspanning, vloeistoffen en het tijdig inplannen van onderhoudsbeurten.</w:t>
      </w:r>
    </w:p>
    <w:p>
      <w:pPr>
        <w:pStyle w:val="ListParagraph"/>
        <w:numPr>
          <w:ilvl w:val="0"/>
          <w:numId w:val="2"/>
        </w:numPr>
      </w:pPr>
      <w:r>
        <w:rPr>
          <w:b/>
          <w:bCs/>
        </w:rPr>
        <w:t xml:space="preserve">Rookverbod: </w:t>
      </w:r>
      <w:r>
        <w:t xml:space="preserve">Er geldt een strikt rookverbod in alle bedrijfsvoertuigen.</w:t>
      </w:r>
    </w:p>
    <w:p>
      <w:pPr>
        <w:pStyle w:val="Heading2"/>
        <w:spacing w:before="200"/>
      </w:pPr>
      <w:r>
        <w:t xml:space="preserve">5. Verzekering en Ongevallen</w:t>
      </w:r>
    </w:p>
    <w:p>
      <w:pPr>
        <w:pStyle w:val="ListParagraph"/>
        <w:numPr>
          <w:ilvl w:val="0"/>
          <w:numId w:val="2"/>
        </w:numPr>
      </w:pPr>
      <w:r>
        <w:t xml:space="preserve">De wagen is gedekt door een omniumverzekering.</w:t>
      </w:r>
    </w:p>
    <w:p>
      <w:pPr>
        <w:pStyle w:val="ListParagraph"/>
        <w:numPr>
          <w:ilvl w:val="0"/>
          <w:numId w:val="2"/>
        </w:numPr>
      </w:pPr>
      <w:r>
        <w:rPr>
          <w:b w:val="false"/>
          <w:bCs w:val="false"/>
        </w:rPr>
        <w:t xml:space="preserve">Bij een ongeval in fout </w:t>
      </w:r>
      <w:r>
        <w:t xml:space="preserve">kan een </w:t>
      </w:r>
      <w:r>
        <w:rPr>
          <w:b/>
          <w:bCs/>
        </w:rPr>
        <w:t xml:space="preserve">franchise (vrijstelling)</w:t>
      </w:r>
      <w:r>
        <w:t xml:space="preserve"> worden aangerekend aan de werknemer, zoals bepaald in de individuele arbeidsovereenkomst.</w:t>
      </w:r>
    </w:p>
    <w:p>
      <w:pPr>
        <w:pStyle w:val="ListParagraph"/>
        <w:numPr>
          <w:ilvl w:val="0"/>
          <w:numId w:val="2"/>
        </w:numPr>
      </w:pPr>
      <w:r>
        <w:t xml:space="preserve">Boetes en verkeersovertredingen vallen integraal ten laste van de werknemer.</w:t>
      </w:r>
    </w:p>
    <w:p>
      <w:pPr>
        <w:pStyle w:val="Heading2"/>
        <w:spacing w:before="200"/>
      </w:pPr>
      <w:r>
        <w:t xml:space="preserve">6. Einde van de Overeenkomst</w:t>
      </w:r>
    </w:p>
    <w:p>
      <w:r>
        <w:t xml:space="preserve">Bij uitdiensttreding dient de wagen in propere staat en met alle toebehoren (laadkabels, sleutels, boorddocumenten) te worden ingeleverd op de zetel van de onderneming.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2026-07-26T05:27:55.136Z</dcterms:created>
  <dcterms:modified xsi:type="dcterms:W3CDTF">2026-07-26T05:27:55.136Z</dcterms:modified>
</cp:coreProperties>
</file>

<file path=docProps/custom.xml><?xml version="1.0" encoding="utf-8"?>
<Properties xmlns="http://schemas.openxmlformats.org/officeDocument/2006/custom-properties" xmlns:vt="http://schemas.openxmlformats.org/officeDocument/2006/docPropsVTypes"/>
</file>