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Vakantie en Vrije Dagen</w:t>
      </w:r>
    </w:p>
    <w:p>
      <w:pPr>
        <w:spacing w:after="200"/>
      </w:pPr>
      <w:r>
        <w:t xml:space="preserve">Binnen onze organisatie wordt het recht op vakantie en rustdagen vastgesteld conform de Belgische wetgeving en de specifieke arbeidsduurregeling binnen de onderneming.</w:t>
      </w:r>
    </w:p>
    <w:p>
      <w:pPr>
        <w:pStyle w:val="Heading2"/>
      </w:pPr>
      <w:r>
        <w:t xml:space="preserve">1. Wettelijke Vakantie</w:t>
      </w:r>
    </w:p>
    <w:p>
      <w:pPr>
        <w:spacing w:after="120"/>
      </w:pPr>
      <w:r>
        <w:t xml:space="preserve">Het aantal wettelijke vakantiedagen wordt in België berekend op basis van de prestaties in het voorgaande kalenderjaar (het vakantiedienstjaar).</w:t>
      </w:r>
    </w:p>
    <w:p>
      <w:pPr>
        <w:pStyle w:val="ListParagraph"/>
        <w:numPr>
          <w:ilvl w:val="0"/>
          <w:numId w:val="2"/>
        </w:numPr>
      </w:pPr>
      <w:r>
        <w:t xml:space="preserve">Bij een volledige tewerkstelling in het voorgaande jaar heb je recht op 20 wettelijke vakantiedagen (op basis van een vijfdaagse werkweek).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Voor medewerkers die pas in dienst treden of hun prestaties hervatten, bestaan er specifieke stelsels zoals de 'aanvullende vakantie' (jeugdvakantie of seniorvakantie), mits aan de wettelijke voorwaarden is voldaan.</w:t>
      </w:r>
    </w:p>
    <w:p>
      <w:pPr>
        <w:pStyle w:val="Heading2"/>
      </w:pPr>
      <w:r>
        <w:t xml:space="preserve">2. ADV-dagen (Arbeidsduurvermindering)</w:t>
      </w:r>
    </w:p>
    <w:p>
      <w:pPr>
        <w:spacing w:after="120"/>
      </w:pPr>
      <w:r>
        <w:t xml:space="preserve">Naast de wettelijke vakantiedagen bouw je extra rustdagen op door onze specifieke werkregeling. Hoewel de officiële wekelijkse arbeidsduur in onze sector/onderneming is vastgelegd op 39 uur per week, werken wij in de praktijk 40 uur per week.</w:t>
      </w:r>
    </w:p>
    <w:p>
      <w:pPr>
        <w:pStyle w:val="ListParagraph"/>
        <w:numPr>
          <w:ilvl w:val="0"/>
          <w:numId w:val="2"/>
        </w:numPr>
      </w:pPr>
      <w:r>
        <w:t xml:space="preserve">Door dit verschil van 1 uur per week bouw je ADV-dagen op.</w:t>
      </w:r>
    </w:p>
    <w:p>
      <w:pPr>
        <w:pStyle w:val="ListParagraph"/>
        <w:numPr>
          <w:ilvl w:val="0"/>
          <w:numId w:val="2"/>
        </w:numPr>
      </w:pPr>
      <w:r>
        <w:t xml:space="preserve">Op jaarbasis komt dit neer op 6 extra rustdagen (bij een volledige tewerkstelling over het volledige jaar).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Deze dagen dienen de balans tussen werk en privé te ondersteunen en worden opgenomen in overleg met de leidinggevende, rekening houdend met de continuïteit van de werking.</w:t>
      </w:r>
    </w:p>
    <w:p>
      <w:pPr>
        <w:pStyle w:val="Heading2"/>
      </w:pPr>
      <w:r>
        <w:t xml:space="preserve">3. Opname van Verlof</w:t>
      </w:r>
    </w:p>
    <w:p>
      <w:r>
        <w:t xml:space="preserve">Alle vakantie- en ADV-dagen moeten worden opgenomen binnen het lopende kalenderjaar. De planning gebeurt steeds in onderling overleg, waarbij we streven naar een tijdige indiening van de aanvragen via het interne verlofsysteem.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2026-07-26T05:27:54.929Z</dcterms:created>
  <dcterms:modified xsi:type="dcterms:W3CDTF">2026-07-26T05:27:54.944Z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