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6E"/>
          <w:sz w:val="52"/>
          <w:szCs w:val="52"/>
        </w:rPr>
        <w:t xml:space="preserve">ROBIN TRADING PLATFORM</w:t>
      </w:r>
    </w:p>
    <w:p>
      <w:pPr>
        <w:spacing w:after="120"/>
        <w:jc w:val="center"/>
      </w:pPr>
      <w:r>
        <w:rPr>
          <w:rFonts w:ascii="Arial" w:cs="Arial" w:eastAsia="Arial" w:hAnsi="Arial"/>
          <w:color w:val="2E5F9E"/>
          <w:sz w:val="30"/>
          <w:szCs w:val="30"/>
        </w:rPr>
        <w:t xml:space="preserve">Comprehensive Technical Analysis &amp; Improvement Report</w:t>
      </w:r>
    </w:p>
    <w:p>
      <w:pPr>
        <w:spacing w:after="480"/>
        <w:jc w:val="center"/>
      </w:pPr>
      <w:r>
        <w:rPr>
          <w:rFonts w:ascii="Arial" w:cs="Arial" w:eastAsia="Arial" w:hAnsi="Arial"/>
          <w:i/>
          <w:iCs/>
          <w:color w:val="555555"/>
          <w:sz w:val="22"/>
          <w:szCs w:val="22"/>
        </w:rPr>
        <w:t xml:space="preserve">Institutional-Grade Ultra-Low Latency Quantitative Trading System</w:t>
      </w:r>
    </w:p>
    <w:p>
      <w:pPr>
        <w:pBdr>
          <w:bottom w:val="single" w:color="2E5F9E" w:sz="6" w:space="1"/>
        </w:pBdr>
        <w:spacing w:after="160"/>
      </w:pPr>
    </w:p>
    <w:p>
      <w:pPr>
        <w:spacing w:after="80"/>
        <w:jc w:val="center"/>
      </w:pPr>
      <w:r>
        <w:rPr>
          <w:rFonts w:ascii="Arial" w:cs="Arial" w:eastAsia="Arial" w:hAnsi="Arial"/>
          <w:color w:val="777777"/>
          <w:sz w:val="18"/>
          <w:szCs w:val="18"/>
        </w:rPr>
        <w:t xml:space="preserve">Prepared: June 2026  |  Repository: Monkey0-9/robin</w:t>
      </w:r>
    </w:p>
    <w:p>
      <w:pPr>
        <w:spacing w:after="80"/>
        <w:jc w:val="center"/>
      </w:pPr>
      <w:r>
        <w:rPr>
          <w:rFonts w:ascii="Arial" w:cs="Arial" w:eastAsia="Arial" w:hAnsi="Arial"/>
          <w:i/>
          <w:iCs/>
          <w:color w:val="888888"/>
          <w:sz w:val="16"/>
          <w:szCs w:val="16"/>
        </w:rPr>
        <w:t xml:space="preserve">Benchmark Targets: BlackRock Aladdin · Goldman Sachs SecDB · State Street Alpha · Vanguard Internal · Two Sigma · Citadel · Jane Street</w:t>
      </w:r>
    </w:p>
    <w:p>
      <w:r>
        <w:br w:type="page"/>
      </w:r>
    </w:p>
    <w:p>
      <w:pPr>
        <w:pStyle w:val="Heading1"/>
        <w:spacing w:after="120" w:before="360"/>
      </w:pPr>
      <w:r>
        <w:rPr>
          <w:rFonts w:ascii="Arial" w:cs="Arial" w:eastAsia="Arial" w:hAnsi="Arial"/>
          <w:b/>
          <w:bCs/>
          <w:color w:val="1A3C6E"/>
          <w:sz w:val="32"/>
          <w:szCs w:val="32"/>
        </w:rPr>
        <w:t xml:space="preserve">1. Executive Summary</w:t>
      </w:r>
    </w:p>
    <w:p>
      <w:pPr>
        <w:spacing w:after="100"/>
      </w:pPr>
      <w:r>
        <w:rPr>
          <w:rFonts w:ascii="Arial" w:cs="Arial" w:eastAsia="Arial" w:hAnsi="Arial"/>
          <w:sz w:val="20"/>
          <w:szCs w:val="20"/>
        </w:rPr>
        <w:t xml:space="preserve">Robin is a polyglot, research-grade ultra-low-latency quantitative trading platform prototype built with C++20, Rust, Go, OCaml, Python, R, Q/KDB+ and TypeScript/Next.js. The project demonstrates sophisticated systems-programming competence and a clear understanding of institutional HFT (High-Frequency Trading) architecture. At the same time, honest disclaimers woven throughout the codebase confirm this is a proof-of-concept that is NOT yet production-ready.</w:t>
      </w:r>
    </w:p>
    <w:p>
      <w:pPr>
        <w:spacing w:after="60"/>
      </w:pPr>
    </w:p>
    <w:p>
      <w:pPr>
        <w:spacing w:after="100"/>
      </w:pPr>
      <w:r>
        <w:rPr>
          <w:rFonts w:ascii="Arial" w:cs="Arial" w:eastAsia="Arial" w:hAnsi="Arial"/>
          <w:sz w:val="20"/>
          <w:szCs w:val="20"/>
        </w:rPr>
        <w:t xml:space="preserve">This report covers: (1) what the system currently does well, (2) gaps relative to institutions such as BlackRock, Vanguard, Goldman Sachs, State Street, Two Sigma, Citadel, and Jane Street, and (3) a prioritised roadmap of improvements.</w:t>
      </w:r>
    </w:p>
    <w:p>
      <w:pPr>
        <w:spacing w:after="60"/>
      </w:pPr>
    </w:p>
    <w:p>
      <w:pPr>
        <w:pStyle w:val="Heading2"/>
        <w:spacing w:after="80" w:before="240"/>
      </w:pPr>
      <w:r>
        <w:rPr>
          <w:rFonts w:ascii="Arial" w:cs="Arial" w:eastAsia="Arial" w:hAnsi="Arial"/>
          <w:b/>
          <w:bCs/>
          <w:color w:val="2E5F9E"/>
          <w:sz w:val="26"/>
          <w:szCs w:val="26"/>
        </w:rPr>
        <w:t xml:space="preserve">1.1 Snapshot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Domain</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Score</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(Prod)</w:t>
            </w:r>
          </w:p>
        </w:tc>
      </w:tr>
      <w:tr>
        <w:tc>
          <w:tcPr>
            <w:tcW w:type="dxa" w:w="4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Hot-path pipeline (ingest → risk → match)</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6 / 10</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10 / 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Latency (measured vs target)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3 / 10 (~1–10μs vs &lt;740ns)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10 / 10</w:t>
            </w:r>
          </w:p>
        </w:tc>
      </w:tr>
      <w:tr>
        <w:tc>
          <w:tcPr>
            <w:tcW w:type="dxa" w:w="4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Compliance (SEC 15c3-5 / MiFID II / FINRA)</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2 / 10 (prototype only)</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10 / 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Security (TLS, mTLS, Vault, HSM)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 / 10 (stubs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10 / 10</w:t>
            </w:r>
          </w:p>
        </w:tc>
      </w:tr>
      <w:tr>
        <w:tc>
          <w:tcPr>
            <w:tcW w:type="dxa" w:w="4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Observability (metrics, tracing, logging)</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5 / 10</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10 / 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Alternative data &amp; AI signals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4 / 10 (linear model, no 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10 / 10</w:t>
            </w:r>
          </w:p>
        </w:tc>
      </w:tr>
      <w:tr>
        <w:tc>
          <w:tcPr>
            <w:tcW w:type="dxa" w:w="4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Portfolio optimisation &amp; risk analytics</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5 / 10 (offline only)</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10 / 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Frontend trading terminal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6 / 10 (simulated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10 / 10</w:t>
            </w:r>
          </w:p>
        </w:tc>
      </w:tr>
      <w:tr>
        <w:tc>
          <w:tcPr>
            <w:tcW w:type="dxa" w:w="46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ESG / sustainable investing integration</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3 / 10 (KDB+ schema only)</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10 / 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CI/CD &amp; test coverage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7 / 10 (8 jobs, 37 tests)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10 / 10</w:t>
            </w:r>
          </w:p>
        </w:tc>
      </w:tr>
    </w:tbl>
    <w:p>
      <w:r>
        <w:br w:type="page"/>
      </w:r>
    </w:p>
    <w:p>
      <w:pPr>
        <w:pStyle w:val="Heading1"/>
        <w:spacing w:after="120" w:before="360"/>
      </w:pPr>
      <w:r>
        <w:rPr>
          <w:rFonts w:ascii="Arial" w:cs="Arial" w:eastAsia="Arial" w:hAnsi="Arial"/>
          <w:b/>
          <w:bCs/>
          <w:color w:val="1A3C6E"/>
          <w:sz w:val="32"/>
          <w:szCs w:val="32"/>
        </w:rPr>
        <w:t xml:space="preserve">2. Architecture Overview</w:t>
      </w:r>
    </w:p>
    <w:p>
      <w:pPr>
        <w:spacing w:after="100"/>
      </w:pPr>
      <w:r>
        <w:rPr>
          <w:rFonts w:ascii="Arial" w:cs="Arial" w:eastAsia="Arial" w:hAnsi="Arial"/>
          <w:sz w:val="20"/>
          <w:szCs w:val="20"/>
        </w:rPr>
        <w:t xml:space="preserve">Robin follows a three-tier pipeline strategy common to institutional HFT systems, segmenting latency-sensitive work from batch analytics.</w:t>
      </w:r>
    </w:p>
    <w:p>
      <w:pPr>
        <w:spacing w:after="60"/>
      </w:pPr>
    </w:p>
    <w:p>
      <w:pPr>
        <w:pStyle w:val="Heading2"/>
        <w:spacing w:after="80" w:before="240"/>
      </w:pPr>
      <w:r>
        <w:rPr>
          <w:rFonts w:ascii="Arial" w:cs="Arial" w:eastAsia="Arial" w:hAnsi="Arial"/>
          <w:b/>
          <w:bCs/>
          <w:color w:val="2E5F9E"/>
          <w:sz w:val="26"/>
          <w:szCs w:val="26"/>
        </w:rPr>
        <w:t xml:space="preserve">2.1 Three-Tier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992"/>
        <w:gridCol w:w="2496"/>
      </w:tblGrid>
      <w:tr>
        <w:tc>
          <w:tcPr>
            <w:tcW w:type="dxa" w:w="187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Tier</w:t>
            </w:r>
          </w:p>
        </w:tc>
        <w:tc>
          <w:tcPr>
            <w:tcW w:type="dxa" w:w="499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Components</w:t>
            </w:r>
          </w:p>
        </w:tc>
        <w:tc>
          <w:tcPr>
            <w:tcW w:type="dxa" w:w="249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Latency Target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HOT PATH</w:t>
            </w:r>
          </w:p>
        </w:tc>
        <w:tc>
          <w:tcPr>
            <w:tcW w:type="dxa" w:w="49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UDP Multicast → C++ Ingestion → Rust Risk Gate → C++ Matching Engine (via POSIX SHM SPSC rings)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&lt; 740 ns end-to-end</w:t>
            </w:r>
          </w:p>
        </w:tc>
      </w:tr>
      <w:tr>
        <w:tc>
          <w:tcPr>
            <w:tcW w:type="dxa" w:w="187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WARM PATH</w:t>
            </w:r>
          </w:p>
        </w:tc>
        <w:tc>
          <w:tcPr>
            <w:tcW w:type="dxa" w:w="499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KDB+ Tick DB, OCaml Portfolio Optimizer, Go Orchestrator</w:t>
            </w:r>
          </w:p>
        </w:tc>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1 – 10 ms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COLD PATH</w:t>
            </w:r>
          </w:p>
        </w:tc>
        <w:tc>
          <w:tcPr>
            <w:tcW w:type="dxa" w:w="49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Python Backtester, R GARCH/VaR analytics, Compliance Daemon, AI Engine</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Offline / batch</w:t>
            </w:r>
          </w:p>
        </w:tc>
      </w:tr>
    </w:tbl>
    <w:p>
      <w:pPr>
        <w:spacing w:after="60"/>
      </w:pPr>
    </w:p>
    <w:p>
      <w:pPr>
        <w:pStyle w:val="Heading2"/>
        <w:spacing w:after="80" w:before="240"/>
      </w:pPr>
      <w:r>
        <w:rPr>
          <w:rFonts w:ascii="Arial" w:cs="Arial" w:eastAsia="Arial" w:hAnsi="Arial"/>
          <w:b/>
          <w:bCs/>
          <w:color w:val="2E5F9E"/>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808"/>
        <w:gridCol w:w="2808"/>
        <w:gridCol w:w="2340"/>
      </w:tblGrid>
      <w:tr>
        <w:tc>
          <w:tcPr>
            <w:tcW w:type="dxa" w:w="1404"/>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Language / Tech</w:t>
            </w:r>
          </w:p>
        </w:tc>
        <w:tc>
          <w:tcPr>
            <w:tcW w:type="dxa" w:w="280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w:t>
            </w:r>
          </w:p>
        </w:tc>
        <w:tc>
          <w:tcPr>
            <w:tcW w:type="dxa" w:w="280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C++20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Matching Engine, Ingestion, Options Pricing, AI Engine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Lock-free order book, ITCH/OUCH parse, Monte Carlo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Working</w:t>
            </w:r>
          </w:p>
        </w:tc>
      </w:tr>
      <w:tr>
        <w:tc>
          <w:tcPr>
            <w:tcW w:type="dxa" w:w="1404"/>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Rust</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Risk Gate, Risk Metrics, Compliance Daemon</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Pre-trade checks, Prometheus metrics, audit logging</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Working</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Go</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Orchestrator Gateway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Health probes, hot-reload config, rate limiting, TLS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Working</w:t>
            </w:r>
          </w:p>
        </w:tc>
      </w:tr>
      <w:tr>
        <w:tc>
          <w:tcPr>
            <w:tcW w:type="dxa" w:w="1404"/>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OCaml</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Portfolio Optimizer</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Gradient descent Sharpe optimizer, VaR/CVaR</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Working (offline)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Python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Strategy Backtester, Alt Data Loader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Almgren slippage model, AIS/satellite/sentiment signals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Working</w:t>
            </w:r>
          </w:p>
        </w:tc>
      </w:tr>
      <w:tr>
        <w:tc>
          <w:tcPr>
            <w:tcW w:type="dxa" w:w="1404"/>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R</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Risk Analytics</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GARCH volatility, SEC CAT report stub</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Working</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Q/KDB+</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Tick DB, ESG Feed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ITCH tick schema, ESG compliance routing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Schema only</w:t>
            </w:r>
          </w:p>
        </w:tc>
      </w:tr>
      <w:tr>
        <w:tc>
          <w:tcPr>
            <w:tcW w:type="dxa" w:w="1404"/>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TypeScript/Next.js</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Trading Terminal Frontend</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Dashboard: order book, chart, positions, risk panel</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Simulated data</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Rust (WGPU)</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GPU Renderer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Low-latency order-book canvas rendering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Prototype</w:t>
            </w:r>
          </w:p>
        </w:tc>
      </w:tr>
      <w:tr>
        <w:tc>
          <w:tcPr>
            <w:tcW w:type="dxa" w:w="1404"/>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C (Linux kernel)</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GPIO Kill Switch</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Hardware emergency halt via netfilter</w:t>
            </w:r>
          </w:p>
        </w:tc>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Working</w:t>
            </w:r>
          </w:p>
        </w:tc>
      </w:tr>
    </w:tbl>
    <w:p>
      <w:r>
        <w:br w:type="page"/>
      </w:r>
    </w:p>
    <w:p>
      <w:pPr>
        <w:pStyle w:val="Heading1"/>
        <w:spacing w:after="120" w:before="360"/>
      </w:pPr>
      <w:r>
        <w:rPr>
          <w:rFonts w:ascii="Arial" w:cs="Arial" w:eastAsia="Arial" w:hAnsi="Arial"/>
          <w:b/>
          <w:bCs/>
          <w:color w:val="1A3C6E"/>
          <w:sz w:val="32"/>
          <w:szCs w:val="32"/>
        </w:rPr>
        <w:t xml:space="preserve">3. What the Project Does Well</w:t>
      </w:r>
    </w:p>
    <w:p>
      <w:pPr>
        <w:pStyle w:val="Heading2"/>
        <w:spacing w:after="80" w:before="240"/>
      </w:pPr>
      <w:r>
        <w:rPr>
          <w:rFonts w:ascii="Arial" w:cs="Arial" w:eastAsia="Arial" w:hAnsi="Arial"/>
          <w:b/>
          <w:bCs/>
          <w:color w:val="2E5F9E"/>
          <w:sz w:val="26"/>
          <w:szCs w:val="26"/>
        </w:rPr>
        <w:t xml:space="preserve">3.1 Hot-Path Engineering</w:t>
      </w:r>
    </w:p>
    <w:p>
      <w:pPr>
        <w:pStyle w:val="ListParagraph"/>
        <w:numPr>
          <w:ilvl w:val="0"/>
          <w:numId w:val="2"/>
        </w:numPr>
        <w:spacing w:after="80"/>
      </w:pPr>
      <w:r>
        <w:rPr>
          <w:rFonts w:ascii="Arial" w:cs="Arial" w:eastAsia="Arial" w:hAnsi="Arial"/>
          <w:sz w:val="20"/>
          <w:szCs w:val="20"/>
        </w:rPr>
        <w:t xml:space="preserve">POSIX SPSC ring buffers (65,536 × 64-byte slots, cache-line aligned) for zero-copy IPC — correct approach used by Jane Street, Two Sigma, and Citadel.</w:t>
      </w:r>
    </w:p>
    <w:p>
      <w:pPr>
        <w:pStyle w:val="ListParagraph"/>
        <w:numPr>
          <w:ilvl w:val="0"/>
          <w:numId w:val="2"/>
        </w:numPr>
        <w:spacing w:after="80"/>
      </w:pPr>
      <w:r>
        <w:rPr>
          <w:rFonts w:ascii="Arial" w:cs="Arial" w:eastAsia="Arial" w:hAnsi="Arial"/>
          <w:sz w:val="20"/>
          <w:szCs w:val="20"/>
        </w:rPr>
        <w:t xml:space="preserve">Lock-free SPSC in/out queues in the C++ matching engine; no heap allocation on the hot path.</w:t>
      </w:r>
    </w:p>
    <w:p>
      <w:pPr>
        <w:pStyle w:val="ListParagraph"/>
        <w:numPr>
          <w:ilvl w:val="0"/>
          <w:numId w:val="2"/>
        </w:numPr>
        <w:spacing w:after="80"/>
      </w:pPr>
      <w:r>
        <w:rPr>
          <w:rFonts w:ascii="Arial" w:cs="Arial" w:eastAsia="Arial" w:hAnsi="Arial"/>
          <w:sz w:val="20"/>
          <w:szCs w:val="20"/>
        </w:rPr>
        <w:t xml:space="preserve">Rust Risk Gate with 7 hard blocks + 2 soft blocks, 23 passing unit tests; zero-allocation design intent.</w:t>
      </w:r>
    </w:p>
    <w:p>
      <w:pPr>
        <w:pStyle w:val="ListParagraph"/>
        <w:numPr>
          <w:ilvl w:val="0"/>
          <w:numId w:val="2"/>
        </w:numPr>
        <w:spacing w:after="80"/>
      </w:pPr>
      <w:r>
        <w:rPr>
          <w:rFonts w:ascii="Arial" w:cs="Arial" w:eastAsia="Arial" w:hAnsi="Arial"/>
          <w:sz w:val="20"/>
          <w:szCs w:val="20"/>
        </w:rPr>
        <w:t xml:space="preserve">RDTSCP-based TSC latency measurement in the benchmark harness.</w:t>
      </w:r>
    </w:p>
    <w:p>
      <w:pPr>
        <w:pStyle w:val="ListParagraph"/>
        <w:numPr>
          <w:ilvl w:val="0"/>
          <w:numId w:val="2"/>
        </w:numPr>
        <w:spacing w:after="80"/>
      </w:pPr>
      <w:r>
        <w:rPr>
          <w:rFonts w:ascii="Arial" w:cs="Arial" w:eastAsia="Arial" w:hAnsi="Arial"/>
          <w:sz w:val="20"/>
          <w:szCs w:val="20"/>
        </w:rPr>
        <w:t xml:space="preserve">C++ order book at 256 price levels/side with overflow guard, best_bid()/best_ask(), cancel_order().</w:t>
      </w:r>
    </w:p>
    <w:p>
      <w:pPr>
        <w:spacing w:after="60"/>
      </w:pPr>
    </w:p>
    <w:p>
      <w:pPr>
        <w:pStyle w:val="Heading2"/>
        <w:spacing w:after="80" w:before="240"/>
      </w:pPr>
      <w:r>
        <w:rPr>
          <w:rFonts w:ascii="Arial" w:cs="Arial" w:eastAsia="Arial" w:hAnsi="Arial"/>
          <w:b/>
          <w:bCs/>
          <w:color w:val="2E5F9E"/>
          <w:sz w:val="26"/>
          <w:szCs w:val="26"/>
        </w:rPr>
        <w:t xml:space="preserve">3.2 Risk &amp; Compliance Framework</w:t>
      </w:r>
    </w:p>
    <w:p>
      <w:pPr>
        <w:pStyle w:val="ListParagraph"/>
        <w:numPr>
          <w:ilvl w:val="0"/>
          <w:numId w:val="2"/>
        </w:numPr>
        <w:spacing w:after="80"/>
      </w:pPr>
      <w:r>
        <w:rPr>
          <w:rFonts w:ascii="Arial" w:cs="Arial" w:eastAsia="Arial" w:hAnsi="Arial"/>
          <w:sz w:val="20"/>
          <w:szCs w:val="20"/>
        </w:rPr>
        <w:t xml:space="preserve">9-layer pre-trade risk gate mirroring SEC Rule 15c3-5 requirements: Kill Switch → Circuit Breaker → Fat Finger → Credit Limit → Symbol Restriction → Duplicate Detection → Price Collar → Position Limit → Velocity Limit.</w:t>
      </w:r>
    </w:p>
    <w:p>
      <w:pPr>
        <w:pStyle w:val="ListParagraph"/>
        <w:numPr>
          <w:ilvl w:val="0"/>
          <w:numId w:val="2"/>
        </w:numPr>
        <w:spacing w:after="80"/>
      </w:pPr>
      <w:r>
        <w:rPr>
          <w:rFonts w:ascii="Arial" w:cs="Arial" w:eastAsia="Arial" w:hAnsi="Arial"/>
          <w:sz w:val="20"/>
          <w:szCs w:val="20"/>
        </w:rPr>
        <w:t xml:space="preserve">SHA-256 WORM audit logging (chain-verifiable, append-only) — architecturally aligned with MiFID II RTS 25 audit trail requirements.</w:t>
      </w:r>
    </w:p>
    <w:p>
      <w:pPr>
        <w:pStyle w:val="ListParagraph"/>
        <w:numPr>
          <w:ilvl w:val="0"/>
          <w:numId w:val="2"/>
        </w:numPr>
        <w:spacing w:after="80"/>
      </w:pPr>
      <w:r>
        <w:rPr>
          <w:rFonts w:ascii="Arial" w:cs="Arial" w:eastAsia="Arial" w:hAnsi="Arial"/>
          <w:sz w:val="20"/>
          <w:szCs w:val="20"/>
        </w:rPr>
        <w:t xml:space="preserve">Pattern-based spoofing detector (large order + rapid cancel).</w:t>
      </w:r>
    </w:p>
    <w:p>
      <w:pPr>
        <w:pStyle w:val="ListParagraph"/>
        <w:numPr>
          <w:ilvl w:val="0"/>
          <w:numId w:val="2"/>
        </w:numPr>
        <w:spacing w:after="80"/>
      </w:pPr>
      <w:r>
        <w:rPr>
          <w:rFonts w:ascii="Arial" w:cs="Arial" w:eastAsia="Arial" w:hAnsi="Arial"/>
          <w:sz w:val="20"/>
          <w:szCs w:val="20"/>
        </w:rPr>
        <w:t xml:space="preserve">GPIO hardware kill switch kernel module with port whitelist (SSH/22, health/8080 always pass).</w:t>
      </w:r>
    </w:p>
    <w:p>
      <w:pPr>
        <w:spacing w:after="60"/>
      </w:pPr>
    </w:p>
    <w:p>
      <w:pPr>
        <w:pStyle w:val="Heading2"/>
        <w:spacing w:after="80" w:before="240"/>
      </w:pPr>
      <w:r>
        <w:rPr>
          <w:rFonts w:ascii="Arial" w:cs="Arial" w:eastAsia="Arial" w:hAnsi="Arial"/>
          <w:b/>
          <w:bCs/>
          <w:color w:val="2E5F9E"/>
          <w:sz w:val="26"/>
          <w:szCs w:val="26"/>
        </w:rPr>
        <w:t xml:space="preserve">3.3 Alternative Data &amp; Alpha Research</w:t>
      </w:r>
    </w:p>
    <w:p>
      <w:pPr>
        <w:pStyle w:val="ListParagraph"/>
        <w:numPr>
          <w:ilvl w:val="0"/>
          <w:numId w:val="2"/>
        </w:numPr>
        <w:spacing w:after="80"/>
      </w:pPr>
      <w:r>
        <w:rPr>
          <w:rFonts w:ascii="Arial" w:cs="Arial" w:eastAsia="Arial" w:hAnsi="Arial"/>
          <w:sz w:val="20"/>
          <w:szCs w:val="20"/>
        </w:rPr>
        <w:t xml:space="preserve">AlternativeDataLoader with 5 signal sources: AIS shipping congestion, satellite car-count deviation, social-media sentiment (Twitter/Reddit/StockTwits), weather impact, and web traffic analytics.</w:t>
      </w:r>
    </w:p>
    <w:p>
      <w:pPr>
        <w:pStyle w:val="ListParagraph"/>
        <w:numPr>
          <w:ilvl w:val="0"/>
          <w:numId w:val="2"/>
        </w:numPr>
        <w:spacing w:after="80"/>
      </w:pPr>
      <w:r>
        <w:rPr>
          <w:rFonts w:ascii="Arial" w:cs="Arial" w:eastAsia="Arial" w:hAnsi="Arial"/>
          <w:sz w:val="20"/>
          <w:szCs w:val="20"/>
        </w:rPr>
        <w:t xml:space="preserve">Almgren et al. (2005) square-root market impact slippage model in the backtester — academic best-practice.</w:t>
      </w:r>
    </w:p>
    <w:p>
      <w:pPr>
        <w:pStyle w:val="ListParagraph"/>
        <w:numPr>
          <w:ilvl w:val="0"/>
          <w:numId w:val="2"/>
        </w:numPr>
        <w:spacing w:after="80"/>
      </w:pPr>
      <w:r>
        <w:rPr>
          <w:rFonts w:ascii="Arial" w:cs="Arial" w:eastAsia="Arial" w:hAnsi="Arial"/>
          <w:sz w:val="20"/>
          <w:szCs w:val="20"/>
        </w:rPr>
        <w:t xml:space="preserve">Annualised Sharpe, Sortino, and Calmar ratios; per-trade commission and slippage modelling.</w:t>
      </w:r>
    </w:p>
    <w:p>
      <w:pPr>
        <w:pStyle w:val="ListParagraph"/>
        <w:numPr>
          <w:ilvl w:val="0"/>
          <w:numId w:val="2"/>
        </w:numPr>
        <w:spacing w:after="80"/>
      </w:pPr>
      <w:r>
        <w:rPr>
          <w:rFonts w:ascii="Arial" w:cs="Arial" w:eastAsia="Arial" w:hAnsi="Arial"/>
          <w:sz w:val="20"/>
          <w:szCs w:val="20"/>
        </w:rPr>
        <w:t xml:space="preserve">C++ Monte Carlo options pricing (European calls) using thread-local xoshiro256 RNG — industry-standard approach.</w:t>
      </w:r>
    </w:p>
    <w:p>
      <w:pPr>
        <w:spacing w:after="60"/>
      </w:pPr>
    </w:p>
    <w:p>
      <w:pPr>
        <w:pStyle w:val="Heading2"/>
        <w:spacing w:after="80" w:before="240"/>
      </w:pPr>
      <w:r>
        <w:rPr>
          <w:rFonts w:ascii="Arial" w:cs="Arial" w:eastAsia="Arial" w:hAnsi="Arial"/>
          <w:b/>
          <w:bCs/>
          <w:color w:val="2E5F9E"/>
          <w:sz w:val="26"/>
          <w:szCs w:val="26"/>
        </w:rPr>
        <w:t xml:space="preserve">3.4 Portfolio &amp; Analytics</w:t>
      </w:r>
    </w:p>
    <w:p>
      <w:pPr>
        <w:pStyle w:val="ListParagraph"/>
        <w:numPr>
          <w:ilvl w:val="0"/>
          <w:numId w:val="2"/>
        </w:numPr>
        <w:spacing w:after="80"/>
      </w:pPr>
      <w:r>
        <w:rPr>
          <w:rFonts w:ascii="Arial" w:cs="Arial" w:eastAsia="Arial" w:hAnsi="Arial"/>
          <w:sz w:val="20"/>
          <w:szCs w:val="20"/>
        </w:rPr>
        <w:t xml:space="preserve">OCaml gradient-descent Sharpe optimizer with simplex projection (correct long-only constraint).</w:t>
      </w:r>
    </w:p>
    <w:p>
      <w:pPr>
        <w:pStyle w:val="ListParagraph"/>
        <w:numPr>
          <w:ilvl w:val="0"/>
          <w:numId w:val="2"/>
        </w:numPr>
        <w:spacing w:after="80"/>
      </w:pPr>
      <w:r>
        <w:rPr>
          <w:rFonts w:ascii="Arial" w:cs="Arial" w:eastAsia="Arial" w:hAnsi="Arial"/>
          <w:sz w:val="20"/>
          <w:szCs w:val="20"/>
        </w:rPr>
        <w:t xml:space="preserve">VaR/CVaR at 95th and 99th confidence levels with covariance matrix.</w:t>
      </w:r>
    </w:p>
    <w:p>
      <w:pPr>
        <w:pStyle w:val="ListParagraph"/>
        <w:numPr>
          <w:ilvl w:val="0"/>
          <w:numId w:val="2"/>
        </w:numPr>
        <w:spacing w:after="80"/>
      </w:pPr>
      <w:r>
        <w:rPr>
          <w:rFonts w:ascii="Arial" w:cs="Arial" w:eastAsia="Arial" w:hAnsi="Arial"/>
          <w:sz w:val="20"/>
          <w:szCs w:val="20"/>
        </w:rPr>
        <w:t xml:space="preserve">R GARCH volatility modelling and SEC CAT report stub.</w:t>
      </w:r>
    </w:p>
    <w:p>
      <w:pPr>
        <w:spacing w:after="60"/>
      </w:pPr>
    </w:p>
    <w:p>
      <w:pPr>
        <w:pStyle w:val="Heading2"/>
        <w:spacing w:after="80" w:before="240"/>
      </w:pPr>
      <w:r>
        <w:rPr>
          <w:rFonts w:ascii="Arial" w:cs="Arial" w:eastAsia="Arial" w:hAnsi="Arial"/>
          <w:b/>
          <w:bCs/>
          <w:color w:val="2E5F9E"/>
          <w:sz w:val="26"/>
          <w:szCs w:val="26"/>
        </w:rPr>
        <w:t xml:space="preserve">3.5 ESG / Sustainable Investing (Referencing BlackRock Aladdin)</w:t>
      </w:r>
    </w:p>
    <w:p>
      <w:pPr>
        <w:pStyle w:val="ListParagraph"/>
        <w:numPr>
          <w:ilvl w:val="0"/>
          <w:numId w:val="2"/>
        </w:numPr>
        <w:spacing w:after="80"/>
      </w:pPr>
      <w:r>
        <w:rPr>
          <w:rFonts w:ascii="Arial" w:cs="Arial" w:eastAsia="Arial" w:hAnsi="Arial"/>
          <w:sz w:val="20"/>
          <w:szCs w:val="20"/>
        </w:rPr>
        <w:t xml:space="preserve">KDB+ ESG feed (esg_feed.q) comments explicitly reference BlackRock Aladdin as the design target.</w:t>
      </w:r>
    </w:p>
    <w:p>
      <w:pPr>
        <w:pStyle w:val="ListParagraph"/>
        <w:numPr>
          <w:ilvl w:val="0"/>
          <w:numId w:val="2"/>
        </w:numPr>
        <w:spacing w:after="80"/>
      </w:pPr>
      <w:r>
        <w:rPr>
          <w:rFonts w:ascii="Arial" w:cs="Arial" w:eastAsia="Arial" w:hAnsi="Arial"/>
          <w:sz w:val="20"/>
          <w:szCs w:val="20"/>
        </w:rPr>
        <w:t xml:space="preserve">Symbol-level E, S, G scores with grade scale (CCC → AAA) and isEsgCompliant() routing filter.</w:t>
      </w:r>
    </w:p>
    <w:p>
      <w:pPr>
        <w:pStyle w:val="ListParagraph"/>
        <w:numPr>
          <w:ilvl w:val="0"/>
          <w:numId w:val="2"/>
        </w:numPr>
        <w:spacing w:after="80"/>
      </w:pPr>
      <w:r>
        <w:rPr>
          <w:rFonts w:ascii="Arial" w:cs="Arial" w:eastAsia="Arial" w:hAnsi="Arial"/>
          <w:sz w:val="20"/>
          <w:szCs w:val="20"/>
        </w:rPr>
        <w:t xml:space="preserve">This positions Robin to support ESG-mandated order routing as required by Vanguard's passive-ESG funds and BlackRock's Sustainable Index products.</w:t>
      </w:r>
    </w:p>
    <w:p>
      <w:pPr>
        <w:spacing w:after="60"/>
      </w:pPr>
    </w:p>
    <w:p>
      <w:pPr>
        <w:pStyle w:val="Heading2"/>
        <w:spacing w:after="80" w:before="240"/>
      </w:pPr>
      <w:r>
        <w:rPr>
          <w:rFonts w:ascii="Arial" w:cs="Arial" w:eastAsia="Arial" w:hAnsi="Arial"/>
          <w:b/>
          <w:bCs/>
          <w:color w:val="2E5F9E"/>
          <w:sz w:val="26"/>
          <w:szCs w:val="26"/>
        </w:rPr>
        <w:t xml:space="preserve">3.6 Infrastructure &amp; CI/CD</w:t>
      </w:r>
    </w:p>
    <w:p>
      <w:pPr>
        <w:pStyle w:val="ListParagraph"/>
        <w:numPr>
          <w:ilvl w:val="0"/>
          <w:numId w:val="2"/>
        </w:numPr>
        <w:spacing w:after="80"/>
      </w:pPr>
      <w:r>
        <w:rPr>
          <w:rFonts w:ascii="Arial" w:cs="Arial" w:eastAsia="Arial" w:hAnsi="Arial"/>
          <w:sz w:val="20"/>
          <w:szCs w:val="20"/>
        </w:rPr>
        <w:t xml:space="preserve">8-job GitHub Actions CI pipeline: Rust build/test/clippy, Go build/vet/test -race, C++ (2 jobs), Python validation, rust-fmt, go-fmt.</w:t>
      </w:r>
    </w:p>
    <w:p>
      <w:pPr>
        <w:pStyle w:val="ListParagraph"/>
        <w:numPr>
          <w:ilvl w:val="0"/>
          <w:numId w:val="2"/>
        </w:numPr>
        <w:spacing w:after="80"/>
      </w:pPr>
      <w:r>
        <w:rPr>
          <w:rFonts w:ascii="Arial" w:cs="Arial" w:eastAsia="Arial" w:hAnsi="Arial"/>
          <w:sz w:val="20"/>
          <w:szCs w:val="20"/>
        </w:rPr>
        <w:t xml:space="preserve">Go Orchestrator: structured JSON logging (slog), token-bucket rate limiter (1,000 req/s), request-ID middleware, graceful shutdown, 14 unit tests.</w:t>
      </w:r>
    </w:p>
    <w:p>
      <w:pPr>
        <w:pStyle w:val="ListParagraph"/>
        <w:numPr>
          <w:ilvl w:val="0"/>
          <w:numId w:val="2"/>
        </w:numPr>
        <w:spacing w:after="80"/>
      </w:pPr>
      <w:r>
        <w:rPr>
          <w:rFonts w:ascii="Arial" w:cs="Arial" w:eastAsia="Arial" w:hAnsi="Arial"/>
          <w:sz w:val="20"/>
          <w:szCs w:val="20"/>
        </w:rPr>
        <w:t xml:space="preserve">Hot-reload config via POST /config — zero-downtime parameter updates (crucial for live risk-limit adjustment).</w:t>
      </w:r>
    </w:p>
    <w:p>
      <w:pPr>
        <w:pStyle w:val="ListParagraph"/>
        <w:numPr>
          <w:ilvl w:val="0"/>
          <w:numId w:val="2"/>
        </w:numPr>
        <w:spacing w:after="80"/>
      </w:pPr>
      <w:r>
        <w:rPr>
          <w:rFonts w:ascii="Arial" w:cs="Arial" w:eastAsia="Arial" w:hAnsi="Arial"/>
          <w:sz w:val="20"/>
          <w:szCs w:val="20"/>
        </w:rPr>
        <w:t xml:space="preserve">Prometheus metric exposition from both Rust Risk Gate (:9092) and Compliance Daemon (:9095).</w:t>
      </w:r>
    </w:p>
    <w:p>
      <w:r>
        <w:br w:type="page"/>
      </w:r>
    </w:p>
    <w:p>
      <w:pPr>
        <w:pStyle w:val="Heading1"/>
        <w:spacing w:after="120" w:before="360"/>
      </w:pPr>
      <w:r>
        <w:rPr>
          <w:rFonts w:ascii="Arial" w:cs="Arial" w:eastAsia="Arial" w:hAnsi="Arial"/>
          <w:b/>
          <w:bCs/>
          <w:color w:val="1A3C6E"/>
          <w:sz w:val="32"/>
          <w:szCs w:val="32"/>
        </w:rPr>
        <w:t xml:space="preserve">4. Gaps vs. Institutional Standards</w:t>
      </w:r>
    </w:p>
    <w:p>
      <w:pPr>
        <w:spacing w:after="100"/>
      </w:pPr>
      <w:r>
        <w:rPr>
          <w:rFonts w:ascii="Arial" w:cs="Arial" w:eastAsia="Arial" w:hAnsi="Arial"/>
          <w:sz w:val="20"/>
          <w:szCs w:val="20"/>
        </w:rPr>
        <w:t xml:space="preserve">The following table maps known gaps against the five largest systematic buy-side and sell-side firms: BlackRock (Aladdin), Vanguard, Goldman Sachs (SecDB/Marquee), State Street (Alpha), and Two Sigma / Citadel / Jane Street (HFT).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432"/>
        <w:gridCol w:w="1404"/>
        <w:gridCol w:w="1716"/>
      </w:tblGrid>
      <w:tr>
        <w:tc>
          <w:tcPr>
            <w:tcW w:type="dxa" w:w="280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Gap Area</w:t>
            </w:r>
          </w:p>
        </w:tc>
        <w:tc>
          <w:tcPr>
            <w:tcW w:type="dxa" w:w="343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1404"/>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71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Ref. Firm</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Real FPGA Synthesis</w:t>
            </w:r>
          </w:p>
        </w:tc>
        <w:tc>
          <w:tcPr>
            <w:tcW w:type="dxa" w:w="343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FPGA is CPU sim (std::memcpy); no Xilinx Alveo U50/U250 synthesis. Real FPGA delivers ~10–100ns vs μs on CPU.</w:t>
            </w:r>
          </w:p>
        </w:tc>
        <w:tc>
          <w:tcPr>
            <w:tcW w:type="dxa" w:w="1404"/>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Critical</w:t>
            </w:r>
          </w:p>
        </w:tc>
        <w:tc>
          <w:tcPr>
            <w:tcW w:type="dxa" w:w="17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Citadel, Jane Street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DPDK Kernel Bypass</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Standard POSIX UDP adds 10–30μs jitter. Intel E810-CQDA2 + DPDK 23.11 required.</w:t>
            </w:r>
          </w:p>
        </w:tc>
        <w:tc>
          <w:tcPr>
            <w:tcW w:type="dxa" w:w="1404"/>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Critical</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Two Sigma, Virtu</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SEC 15c3-5 Certification</w:t>
            </w:r>
          </w:p>
        </w:tc>
        <w:tc>
          <w:tcPr>
            <w:tcW w:type="dxa" w:w="343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 compliance blocks are prototypes — not certified by a qualified independent party.</w:t>
            </w:r>
          </w:p>
        </w:tc>
        <w:tc>
          <w:tcPr>
            <w:tcW w:type="dxa" w:w="1404"/>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Critical</w:t>
            </w:r>
          </w:p>
        </w:tc>
        <w:tc>
          <w:tcPr>
            <w:tcW w:type="dxa" w:w="17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Goldman Sachs, State Street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MiFID II / PTP Clock Sync</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 PTP grandmaster; no hardware timestamping. RTS 25 requires μs-accurate clocks.</w:t>
            </w:r>
          </w:p>
        </w:tc>
        <w:tc>
          <w:tcPr>
            <w:tcW w:type="dxa" w:w="1404"/>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Critical</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BlackRock Aladdin</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mTLS / HSM / Vault</w:t>
            </w:r>
          </w:p>
        </w:tc>
        <w:tc>
          <w:tcPr>
            <w:tcW w:type="dxa" w:w="343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JWT middleware does NOT verify signatures. No mTLS between services. No HashiCorp Vault.</w:t>
            </w:r>
          </w:p>
        </w:tc>
        <w:tc>
          <w:tcPr>
            <w:tcW w:type="dxa" w:w="1404"/>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Critical</w:t>
            </w:r>
          </w:p>
        </w:tc>
        <w:tc>
          <w:tcPr>
            <w:tcW w:type="dxa" w:w="17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Goldman Sachs SecDB</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Production KDB+ Deployment</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Only schema files — no live tickerplant/RDB/HDB. KDB+ is the industry standard for tick data.</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Two Sigma, Vanguard</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Real ML / ONNX Inference</w:t>
            </w:r>
          </w:p>
        </w:tc>
        <w:tc>
          <w:tcPr>
            <w:tcW w:type="dxa" w:w="343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LinearSignalModel is a weighted linear formula, NOT a neural network. Rename eliminated deception.</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c>
          <w:tcPr>
            <w:tcW w:type="dxa" w:w="17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Two Sigma, DE Shaw</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Distributed Tracing (OpenTelemetry)</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 spans, no trace IDs. Impossible to debug latency spikes across services.</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BlackRock Aladdin</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Horizontal Scaling / Raft</w:t>
            </w:r>
          </w:p>
        </w:tc>
        <w:tc>
          <w:tcPr>
            <w:tcW w:type="dxa" w:w="343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Single-node only. No Raft consensus for multi-node SHM failover.</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c>
          <w:tcPr>
            <w:tcW w:type="dxa" w:w="17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State Street Alpha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FINRA Rule 3110 Supervision</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 supervisory workflow, no principal approval system.</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Goldman Sachs, Morgan Stanley</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SOC 2 Type II</w:t>
            </w:r>
          </w:p>
        </w:tc>
        <w:tc>
          <w:tcPr>
            <w:tcW w:type="dxa" w:w="343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No independent audit. Required for institutional client onboarding.</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c>
          <w:tcPr>
            <w:tcW w:type="dxa" w:w="17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 institutions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Atomic Operations in Rust Bridge</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shm_bridge.rs uses write_volatile/read_volatile instead of proper atomic ops — undefined behaviour risk.</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 HFT firms</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Price-Time Priority Matching</w:t>
            </w:r>
          </w:p>
        </w:tc>
        <w:tc>
          <w:tcPr>
            <w:tcW w:type="dxa" w:w="343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Matching engine is FIFO per price level, not true price-time priority. Exchanges (NYSE, NASDAQ) use price-time.</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c>
          <w:tcPr>
            <w:tcW w:type="dxa" w:w="17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Jane Street, Citadel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Non-atomic Circuit Breaker Counter</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current_drawdown in circuit_breaker.rs is non-atomic — data race under concurrent access.</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 risk teams</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OCaml Portfolio Integration</w:t>
            </w:r>
          </w:p>
        </w:tc>
        <w:tc>
          <w:tcPr>
            <w:tcW w:type="dxa" w:w="343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Portfolio optimizer not connected to live risk gate feedback loop.</w:t>
            </w:r>
          </w:p>
        </w:tc>
        <w:tc>
          <w:tcPr>
            <w:tcW w:type="dxa" w:w="1404"/>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vAlign w:val="center"/>
          </w:tcPr>
          <w:p>
            <w:r>
              <w:rPr>
                <w:rFonts w:ascii="Arial" w:cs="Arial" w:eastAsia="Arial" w:hAnsi="Arial"/>
                <w:b w:val="false"/>
                <w:bCs w:val="false"/>
                <w:sz w:val="18"/>
                <w:szCs w:val="18"/>
              </w:rPr>
              <w:t xml:space="preserve">🟠 Medium</w:t>
            </w:r>
          </w:p>
        </w:tc>
        <w:tc>
          <w:tcPr>
            <w:tcW w:type="dxa" w:w="17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BlackRock Aladdin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Real Alternative Data APIs</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AlternativeDataLoader uses np.random.randn() for all signals — no live data connection.</w:t>
            </w:r>
          </w:p>
        </w:tc>
        <w:tc>
          <w:tcPr>
            <w:tcW w:type="dxa" w:w="1404"/>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vAlign w:val="center"/>
          </w:tcPr>
          <w:p>
            <w:r>
              <w:rPr>
                <w:rFonts w:ascii="Arial" w:cs="Arial" w:eastAsia="Arial" w:hAnsi="Arial"/>
                <w:b w:val="false"/>
                <w:bCs w:val="false"/>
                <w:sz w:val="18"/>
                <w:szCs w:val="18"/>
              </w:rPr>
              <w:t xml:space="preserve">🟠 Medium</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Two Sigma, DE Shaw</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Options: Path-Dependent Products</w:t>
            </w:r>
          </w:p>
        </w:tc>
        <w:tc>
          <w:tcPr>
            <w:tcW w:type="dxa" w:w="343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Monte Carlo only handles European calls; no American options, no path-dependent exotics.</w:t>
            </w:r>
          </w:p>
        </w:tc>
        <w:tc>
          <w:tcPr>
            <w:tcW w:type="dxa" w:w="1404"/>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vAlign w:val="center"/>
          </w:tcPr>
          <w:p>
            <w:r>
              <w:rPr>
                <w:rFonts w:ascii="Arial" w:cs="Arial" w:eastAsia="Arial" w:hAnsi="Arial"/>
                <w:b w:val="false"/>
                <w:bCs w:val="false"/>
                <w:sz w:val="18"/>
                <w:szCs w:val="18"/>
              </w:rPr>
              <w:t xml:space="preserve">🟠 Medium</w:t>
            </w:r>
          </w:p>
        </w:tc>
        <w:tc>
          <w:tcPr>
            <w:tcW w:type="dxa" w:w="17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Goldman Sachs Marquee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HdrHistogram Latency Metrics</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Benchmark harness uses avg/max only — no percentile histogram (p50/p99/p999).</w:t>
            </w:r>
          </w:p>
        </w:tc>
        <w:tc>
          <w:tcPr>
            <w:tcW w:type="dxa" w:w="1404"/>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vAlign w:val="center"/>
          </w:tcPr>
          <w:p>
            <w:r>
              <w:rPr>
                <w:rFonts w:ascii="Arial" w:cs="Arial" w:eastAsia="Arial" w:hAnsi="Arial"/>
                <w:b w:val="false"/>
                <w:bCs w:val="false"/>
                <w:sz w:val="18"/>
                <w:szCs w:val="18"/>
              </w:rPr>
              <w:t xml:space="preserve">🟠 Medium</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 latency-critical firms</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Frontend: Live Backend Connection</w:t>
            </w:r>
          </w:p>
        </w:tc>
        <w:tc>
          <w:tcPr>
            <w:tcW w:type="dxa" w:w="343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Trading terminal state is fully simulated (setInterval + Math.random). No WebSocket to gateway.</w:t>
            </w:r>
          </w:p>
        </w:tc>
        <w:tc>
          <w:tcPr>
            <w:tcW w:type="dxa" w:w="1404"/>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vAlign w:val="center"/>
          </w:tcPr>
          <w:p>
            <w:r>
              <w:rPr>
                <w:rFonts w:ascii="Arial" w:cs="Arial" w:eastAsia="Arial" w:hAnsi="Arial"/>
                <w:b w:val="false"/>
                <w:bCs w:val="false"/>
                <w:sz w:val="18"/>
                <w:szCs w:val="18"/>
              </w:rPr>
              <w:t xml:space="preserve">🟠 Medium</w:t>
            </w:r>
          </w:p>
        </w:tc>
        <w:tc>
          <w:tcPr>
            <w:tcW w:type="dxa" w:w="17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 trading desks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ESG Data Vendor Integration</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ESG ratings are hardcoded (AAPL=82, MSFT=85). No MSCI, Sustainalytics, or ISS API connection.</w:t>
            </w:r>
          </w:p>
        </w:tc>
        <w:tc>
          <w:tcPr>
            <w:tcW w:type="dxa" w:w="1404"/>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vAlign w:val="center"/>
          </w:tcPr>
          <w:p>
            <w:r>
              <w:rPr>
                <w:rFonts w:ascii="Arial" w:cs="Arial" w:eastAsia="Arial" w:hAnsi="Arial"/>
                <w:b w:val="false"/>
                <w:bCs w:val="false"/>
                <w:sz w:val="18"/>
                <w:szCs w:val="18"/>
              </w:rPr>
              <w:t xml:space="preserve">🟠 Medium</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BlackRock, Vanguard, State Street</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Correlation Matrix / Factor Models</w:t>
            </w:r>
          </w:p>
        </w:tc>
        <w:tc>
          <w:tcPr>
            <w:tcW w:type="dxa" w:w="343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correlation_matrix.q schema present but no Barra/AXIOMA/PCA factor risk model integration.</w:t>
            </w:r>
          </w:p>
        </w:tc>
        <w:tc>
          <w:tcPr>
            <w:tcW w:type="dxa" w:w="1404"/>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vAlign w:val="center"/>
          </w:tcPr>
          <w:p>
            <w:r>
              <w:rPr>
                <w:rFonts w:ascii="Arial" w:cs="Arial" w:eastAsia="Arial" w:hAnsi="Arial"/>
                <w:b w:val="false"/>
                <w:bCs w:val="false"/>
                <w:sz w:val="18"/>
                <w:szCs w:val="18"/>
              </w:rPr>
              <w:t xml:space="preserve">🟠 Medium</w:t>
            </w:r>
          </w:p>
        </w:tc>
        <w:tc>
          <w:tcPr>
            <w:tcW w:type="dxa" w:w="17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BlackRock Aladdin, State Street Alpha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Docker / Kubernetes Deployment</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 Dockerfile, no Helm chart, no K8s manifests.</w:t>
            </w:r>
          </w:p>
        </w:tc>
        <w:tc>
          <w:tcPr>
            <w:tcW w:type="dxa" w:w="1404"/>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vAlign w:val="center"/>
          </w:tcPr>
          <w:p>
            <w:r>
              <w:rPr>
                <w:rFonts w:ascii="Arial" w:cs="Arial" w:eastAsia="Arial" w:hAnsi="Arial"/>
                <w:b w:val="false"/>
                <w:bCs w:val="false"/>
                <w:sz w:val="18"/>
                <w:szCs w:val="18"/>
              </w:rPr>
              <w:t xml:space="preserve">🟠 Medium</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State Street Alpha, Goldman Sachs</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GPU Order Book Renderer</w:t>
            </w:r>
          </w:p>
        </w:tc>
        <w:tc>
          <w:tcPr>
            <w:tcW w:type="dxa" w:w="343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WGPU-based renderer in Rust exists but is not integrated into the Next.js frontend.</w:t>
            </w:r>
          </w:p>
        </w:tc>
        <w:tc>
          <w:tcPr>
            <w:tcW w:type="dxa" w:w="1404"/>
            <w:tcBorders>
              <w:top w:val="single" w:color="CCCCCC" w:sz="1"/>
              <w:left w:val="single" w:color="CCCCCC" w:sz="1"/>
              <w:bottom w:val="single" w:color="CCCCCC" w:sz="1"/>
              <w:right w:val="single" w:color="CCCCCC" w:sz="1"/>
            </w:tcBorders>
            <w:shd w:fill="D6F4E0" w:val="clear"/>
            <w:tcMar>
              <w:top w:type="dxa" w:w="80"/>
              <w:left w:type="dxa" w:w="120"/>
              <w:bottom w:type="dxa" w:w="80"/>
              <w:right w:type="dxa" w:w="120"/>
            </w:tcMar>
            <w:vAlign w:val="center"/>
          </w:tcPr>
          <w:p>
            <w:r>
              <w:rPr>
                <w:rFonts w:ascii="Arial" w:cs="Arial" w:eastAsia="Arial" w:hAnsi="Arial"/>
                <w:b w:val="false"/>
                <w:bCs w:val="false"/>
                <w:sz w:val="18"/>
                <w:szCs w:val="18"/>
              </w:rPr>
              <w:t xml:space="preserve">🟢 Low</w:t>
            </w:r>
          </w:p>
        </w:tc>
        <w:tc>
          <w:tcPr>
            <w:tcW w:type="dxa" w:w="17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Proprietary trading UIs</w:t>
            </w:r>
          </w:p>
        </w:tc>
      </w:tr>
    </w:tbl>
    <w:p>
      <w:r>
        <w:br w:type="page"/>
      </w:r>
    </w:p>
    <w:p>
      <w:pPr>
        <w:pStyle w:val="Heading1"/>
        <w:spacing w:after="120" w:before="360"/>
      </w:pPr>
      <w:r>
        <w:rPr>
          <w:rFonts w:ascii="Arial" w:cs="Arial" w:eastAsia="Arial" w:hAnsi="Arial"/>
          <w:b/>
          <w:bCs/>
          <w:color w:val="1A3C6E"/>
          <w:sz w:val="32"/>
          <w:szCs w:val="32"/>
        </w:rPr>
        <w:t xml:space="preserve">5. Firm-by-Firm Comparison</w:t>
      </w:r>
    </w:p>
    <w:p>
      <w:pPr>
        <w:pStyle w:val="Heading2"/>
        <w:spacing w:after="80" w:before="240"/>
      </w:pPr>
      <w:r>
        <w:rPr>
          <w:rFonts w:ascii="Arial" w:cs="Arial" w:eastAsia="Arial" w:hAnsi="Arial"/>
          <w:b/>
          <w:bCs/>
          <w:color w:val="2E5F9E"/>
          <w:sz w:val="26"/>
          <w:szCs w:val="26"/>
        </w:rPr>
        <w:t xml:space="preserve">5.1 BlackRock — Aladdin Platform</w:t>
      </w:r>
    </w:p>
    <w:p>
      <w:pPr>
        <w:spacing w:after="100"/>
      </w:pPr>
      <w:r>
        <w:rPr>
          <w:rFonts w:ascii="Arial" w:cs="Arial" w:eastAsia="Arial" w:hAnsi="Arial"/>
          <w:sz w:val="20"/>
          <w:szCs w:val="20"/>
        </w:rPr>
        <w:t xml:space="preserve">Aladdin is BlackRock's risk OS managing $21+ trillion AUM across 55,000+ investment portfolios. Robin references Aladdin explicitly in esg_feed.q as a design target.</w:t>
      </w:r>
    </w:p>
    <w:p>
      <w:pPr>
        <w:spacing w:after="60"/>
      </w:pPr>
    </w:p>
    <w:p>
      <w:pPr>
        <w:pStyle w:val="Heading3"/>
        <w:spacing w:after="60" w:before="160"/>
      </w:pPr>
      <w:r>
        <w:rPr>
          <w:rFonts w:ascii="Arial" w:cs="Arial" w:eastAsia="Arial" w:hAnsi="Arial"/>
          <w:b/>
          <w:bCs/>
          <w:color w:val="3A3A3A"/>
          <w:sz w:val="22"/>
          <w:szCs w:val="22"/>
        </w:rPr>
        <w:t xml:space="preserve">Robin aligns with Aladdin in:</w:t>
      </w:r>
    </w:p>
    <w:p>
      <w:pPr>
        <w:pStyle w:val="ListParagraph"/>
        <w:numPr>
          <w:ilvl w:val="0"/>
          <w:numId w:val="2"/>
        </w:numPr>
        <w:spacing w:after="80"/>
      </w:pPr>
      <w:r>
        <w:rPr>
          <w:rFonts w:ascii="Arial" w:cs="Arial" w:eastAsia="Arial" w:hAnsi="Arial"/>
          <w:sz w:val="20"/>
          <w:szCs w:val="20"/>
        </w:rPr>
        <w:t xml:space="preserve">ESG-filtered order routing (isEsgCompliant() function mirrors Aladdin's ESG screen).</w:t>
      </w:r>
    </w:p>
    <w:p>
      <w:pPr>
        <w:pStyle w:val="ListParagraph"/>
        <w:numPr>
          <w:ilvl w:val="0"/>
          <w:numId w:val="2"/>
        </w:numPr>
        <w:spacing w:after="80"/>
      </w:pPr>
      <w:r>
        <w:rPr>
          <w:rFonts w:ascii="Arial" w:cs="Arial" w:eastAsia="Arial" w:hAnsi="Arial"/>
          <w:sz w:val="20"/>
          <w:szCs w:val="20"/>
        </w:rPr>
        <w:t xml:space="preserve">Portfolio VaR/CVaR computation with covariance matrices.</w:t>
      </w:r>
    </w:p>
    <w:p>
      <w:pPr>
        <w:pStyle w:val="ListParagraph"/>
        <w:numPr>
          <w:ilvl w:val="0"/>
          <w:numId w:val="2"/>
        </w:numPr>
        <w:spacing w:after="80"/>
      </w:pPr>
      <w:r>
        <w:rPr>
          <w:rFonts w:ascii="Arial" w:cs="Arial" w:eastAsia="Arial" w:hAnsi="Arial"/>
          <w:sz w:val="20"/>
          <w:szCs w:val="20"/>
        </w:rPr>
        <w:t xml:space="preserve">Prometheus observability — Aladdin exposes internal risk metrics via similar telemetry stacks.</w:t>
      </w:r>
    </w:p>
    <w:p>
      <w:pPr>
        <w:spacing w:after="60"/>
      </w:pPr>
    </w:p>
    <w:p>
      <w:pPr>
        <w:pStyle w:val="Heading3"/>
        <w:spacing w:after="60" w:before="160"/>
      </w:pPr>
      <w:r>
        <w:rPr>
          <w:rFonts w:ascii="Arial" w:cs="Arial" w:eastAsia="Arial" w:hAnsi="Arial"/>
          <w:b/>
          <w:bCs/>
          <w:color w:val="3A3A3A"/>
          <w:sz w:val="22"/>
          <w:szCs w:val="22"/>
        </w:rPr>
        <w:t xml:space="preserve">Robin must add to match Aladdin:</w:t>
      </w:r>
    </w:p>
    <w:p>
      <w:pPr>
        <w:pStyle w:val="ListParagraph"/>
        <w:numPr>
          <w:ilvl w:val="0"/>
          <w:numId w:val="2"/>
        </w:numPr>
        <w:spacing w:after="80"/>
      </w:pPr>
      <w:r>
        <w:rPr>
          <w:rFonts w:ascii="Arial" w:cs="Arial" w:eastAsia="Arial" w:hAnsi="Arial"/>
          <w:sz w:val="20"/>
          <w:szCs w:val="20"/>
        </w:rPr>
        <w:t xml:space="preserve">Live ESG vendor feeds: MSCI ESG Ratings, Sustainalytics, ISS, and Refinitiv ESG APIs.</w:t>
      </w:r>
    </w:p>
    <w:p>
      <w:pPr>
        <w:pStyle w:val="ListParagraph"/>
        <w:numPr>
          <w:ilvl w:val="0"/>
          <w:numId w:val="2"/>
        </w:numPr>
        <w:spacing w:after="80"/>
      </w:pPr>
      <w:r>
        <w:rPr>
          <w:rFonts w:ascii="Arial" w:cs="Arial" w:eastAsia="Arial" w:hAnsi="Arial"/>
          <w:sz w:val="20"/>
          <w:szCs w:val="20"/>
        </w:rPr>
        <w:t xml:space="preserve">Factor risk models: Barra GEMLT or AXIOMA integration for multi-factor covariance estimation.</w:t>
      </w:r>
    </w:p>
    <w:p>
      <w:pPr>
        <w:pStyle w:val="ListParagraph"/>
        <w:numPr>
          <w:ilvl w:val="0"/>
          <w:numId w:val="2"/>
        </w:numPr>
        <w:spacing w:after="80"/>
      </w:pPr>
      <w:r>
        <w:rPr>
          <w:rFonts w:ascii="Arial" w:cs="Arial" w:eastAsia="Arial" w:hAnsi="Arial"/>
          <w:sz w:val="20"/>
          <w:szCs w:val="20"/>
        </w:rPr>
        <w:t xml:space="preserve">MiFID II PTP clock synchronisation (hardware PTP grandmaster for RTS 25 compliance).</w:t>
      </w:r>
    </w:p>
    <w:p>
      <w:pPr>
        <w:pStyle w:val="ListParagraph"/>
        <w:numPr>
          <w:ilvl w:val="0"/>
          <w:numId w:val="2"/>
        </w:numPr>
        <w:spacing w:after="80"/>
      </w:pPr>
      <w:r>
        <w:rPr>
          <w:rFonts w:ascii="Arial" w:cs="Arial" w:eastAsia="Arial" w:hAnsi="Arial"/>
          <w:sz w:val="20"/>
          <w:szCs w:val="20"/>
        </w:rPr>
        <w:t xml:space="preserve">Multi-asset class support: fixed income, derivatives, FX overlay — Aladdin covers all.</w:t>
      </w:r>
    </w:p>
    <w:p>
      <w:pPr>
        <w:pStyle w:val="ListParagraph"/>
        <w:numPr>
          <w:ilvl w:val="0"/>
          <w:numId w:val="2"/>
        </w:numPr>
        <w:spacing w:after="80"/>
      </w:pPr>
      <w:r>
        <w:rPr>
          <w:rFonts w:ascii="Arial" w:cs="Arial" w:eastAsia="Arial" w:hAnsi="Arial"/>
          <w:sz w:val="20"/>
          <w:szCs w:val="20"/>
        </w:rPr>
        <w:t xml:space="preserve">Client portal / white-label reporting — Aladdin's differentiated B2B offering.</w:t>
      </w:r>
    </w:p>
    <w:p>
      <w:pPr>
        <w:spacing w:after="60"/>
      </w:pPr>
    </w:p>
    <w:p>
      <w:pPr>
        <w:pStyle w:val="Heading2"/>
        <w:spacing w:after="80" w:before="240"/>
      </w:pPr>
      <w:r>
        <w:rPr>
          <w:rFonts w:ascii="Arial" w:cs="Arial" w:eastAsia="Arial" w:hAnsi="Arial"/>
          <w:b/>
          <w:bCs/>
          <w:color w:val="2E5F9E"/>
          <w:sz w:val="26"/>
          <w:szCs w:val="26"/>
        </w:rPr>
        <w:t xml:space="preserve">5.2 Vanguard — Index &amp; Passive Management</w:t>
      </w:r>
    </w:p>
    <w:p>
      <w:pPr>
        <w:spacing w:after="100"/>
      </w:pPr>
      <w:r>
        <w:rPr>
          <w:rFonts w:ascii="Arial" w:cs="Arial" w:eastAsia="Arial" w:hAnsi="Arial"/>
          <w:sz w:val="20"/>
          <w:szCs w:val="20"/>
        </w:rPr>
        <w:t xml:space="preserve">Vanguard manages $9+ trillion primarily in index funds and ETFs, requiring ultra-low-cost execution, ESG mandate screens, and tax-loss harvesting.</w:t>
      </w:r>
    </w:p>
    <w:p>
      <w:pPr>
        <w:spacing w:after="60"/>
      </w:pPr>
    </w:p>
    <w:p>
      <w:pPr>
        <w:pStyle w:val="Heading3"/>
        <w:spacing w:after="60" w:before="160"/>
      </w:pPr>
      <w:r>
        <w:rPr>
          <w:rFonts w:ascii="Arial" w:cs="Arial" w:eastAsia="Arial" w:hAnsi="Arial"/>
          <w:b/>
          <w:bCs/>
          <w:color w:val="3A3A3A"/>
          <w:sz w:val="22"/>
          <w:szCs w:val="22"/>
        </w:rPr>
        <w:t xml:space="preserve">Robin aligns with Vanguard in:</w:t>
      </w:r>
    </w:p>
    <w:p>
      <w:pPr>
        <w:pStyle w:val="ListParagraph"/>
        <w:numPr>
          <w:ilvl w:val="0"/>
          <w:numId w:val="2"/>
        </w:numPr>
        <w:spacing w:after="80"/>
      </w:pPr>
      <w:r>
        <w:rPr>
          <w:rFonts w:ascii="Arial" w:cs="Arial" w:eastAsia="Arial" w:hAnsi="Arial"/>
          <w:sz w:val="20"/>
          <w:szCs w:val="20"/>
        </w:rPr>
        <w:t xml:space="preserve">Sharpe-maximising portfolio optimizer (Vanguard's passive strategies are benchmark-aware).</w:t>
      </w:r>
    </w:p>
    <w:p>
      <w:pPr>
        <w:pStyle w:val="ListParagraph"/>
        <w:numPr>
          <w:ilvl w:val="0"/>
          <w:numId w:val="2"/>
        </w:numPr>
        <w:spacing w:after="80"/>
      </w:pPr>
      <w:r>
        <w:rPr>
          <w:rFonts w:ascii="Arial" w:cs="Arial" w:eastAsia="Arial" w:hAnsi="Arial"/>
          <w:sz w:val="20"/>
          <w:szCs w:val="20"/>
        </w:rPr>
        <w:t xml:space="preserve">Commission modelling at institutional rates (2bps) — matches Vanguard's cost-conscious culture.</w:t>
      </w:r>
    </w:p>
    <w:p>
      <w:pPr>
        <w:pStyle w:val="ListParagraph"/>
        <w:numPr>
          <w:ilvl w:val="0"/>
          <w:numId w:val="2"/>
        </w:numPr>
        <w:spacing w:after="80"/>
      </w:pPr>
      <w:r>
        <w:rPr>
          <w:rFonts w:ascii="Arial" w:cs="Arial" w:eastAsia="Arial" w:hAnsi="Arial"/>
          <w:sz w:val="20"/>
          <w:szCs w:val="20"/>
        </w:rPr>
        <w:t xml:space="preserve">ESG compliance routing — Vanguard operates ESG index products (ESG U.S. Stock ETF, etc.).</w:t>
      </w:r>
    </w:p>
    <w:p>
      <w:pPr>
        <w:spacing w:after="60"/>
      </w:pPr>
    </w:p>
    <w:p>
      <w:pPr>
        <w:pStyle w:val="Heading3"/>
        <w:spacing w:after="60" w:before="160"/>
      </w:pPr>
      <w:r>
        <w:rPr>
          <w:rFonts w:ascii="Arial" w:cs="Arial" w:eastAsia="Arial" w:hAnsi="Arial"/>
          <w:b/>
          <w:bCs/>
          <w:color w:val="3A3A3A"/>
          <w:sz w:val="22"/>
          <w:szCs w:val="22"/>
        </w:rPr>
        <w:t xml:space="preserve">Robin must add to match Vanguard:</w:t>
      </w:r>
    </w:p>
    <w:p>
      <w:pPr>
        <w:pStyle w:val="ListParagraph"/>
        <w:numPr>
          <w:ilvl w:val="0"/>
          <w:numId w:val="2"/>
        </w:numPr>
        <w:spacing w:after="80"/>
      </w:pPr>
      <w:r>
        <w:rPr>
          <w:rFonts w:ascii="Arial" w:cs="Arial" w:eastAsia="Arial" w:hAnsi="Arial"/>
          <w:sz w:val="20"/>
          <w:szCs w:val="20"/>
        </w:rPr>
        <w:t xml:space="preserve">Tax-loss harvesting engine: TaxEngine.rs stub exists but is not integrated into position management.</w:t>
      </w:r>
    </w:p>
    <w:p>
      <w:pPr>
        <w:pStyle w:val="ListParagraph"/>
        <w:numPr>
          <w:ilvl w:val="0"/>
          <w:numId w:val="2"/>
        </w:numPr>
        <w:spacing w:after="80"/>
      </w:pPr>
      <w:r>
        <w:rPr>
          <w:rFonts w:ascii="Arial" w:cs="Arial" w:eastAsia="Arial" w:hAnsi="Arial"/>
          <w:sz w:val="20"/>
          <w:szCs w:val="20"/>
        </w:rPr>
        <w:t xml:space="preserve">Dividend reinvestment and benchmark tracking error minimisation.</w:t>
      </w:r>
    </w:p>
    <w:p>
      <w:pPr>
        <w:pStyle w:val="ListParagraph"/>
        <w:numPr>
          <w:ilvl w:val="0"/>
          <w:numId w:val="2"/>
        </w:numPr>
        <w:spacing w:after="80"/>
      </w:pPr>
      <w:r>
        <w:rPr>
          <w:rFonts w:ascii="Arial" w:cs="Arial" w:eastAsia="Arial" w:hAnsi="Arial"/>
          <w:sz w:val="20"/>
          <w:szCs w:val="20"/>
        </w:rPr>
        <w:t xml:space="preserve">FINRA Rule 3110 supervisory framework — critical for a registered investment adviser.</w:t>
      </w:r>
    </w:p>
    <w:p>
      <w:pPr>
        <w:pStyle w:val="ListParagraph"/>
        <w:numPr>
          <w:ilvl w:val="0"/>
          <w:numId w:val="2"/>
        </w:numPr>
        <w:spacing w:after="80"/>
      </w:pPr>
      <w:r>
        <w:rPr>
          <w:rFonts w:ascii="Arial" w:cs="Arial" w:eastAsia="Arial" w:hAnsi="Arial"/>
          <w:sz w:val="20"/>
          <w:szCs w:val="20"/>
        </w:rPr>
        <w:t xml:space="preserve">Redemption-in-kind (PIK) mechanism for ETF creation/redemption basket processing.</w:t>
      </w:r>
    </w:p>
    <w:p>
      <w:pPr>
        <w:spacing w:after="60"/>
      </w:pPr>
    </w:p>
    <w:p>
      <w:pPr>
        <w:pStyle w:val="Heading2"/>
        <w:spacing w:after="80" w:before="240"/>
      </w:pPr>
      <w:r>
        <w:rPr>
          <w:rFonts w:ascii="Arial" w:cs="Arial" w:eastAsia="Arial" w:hAnsi="Arial"/>
          <w:b/>
          <w:bCs/>
          <w:color w:val="2E5F9E"/>
          <w:sz w:val="26"/>
          <w:szCs w:val="26"/>
        </w:rPr>
        <w:t xml:space="preserve">5.3 Goldman Sachs — SecDB / Marquee</w:t>
      </w:r>
    </w:p>
    <w:p>
      <w:pPr>
        <w:spacing w:after="100"/>
      </w:pPr>
      <w:r>
        <w:rPr>
          <w:rFonts w:ascii="Arial" w:cs="Arial" w:eastAsia="Arial" w:hAnsi="Arial"/>
          <w:sz w:val="20"/>
          <w:szCs w:val="20"/>
        </w:rPr>
        <w:t xml:space="preserve">Goldman's SecDB is a proprietary C++ risk and pricing platform processing millions of derivatives valuations daily. Marquee is the client-facing API layer.</w:t>
      </w:r>
    </w:p>
    <w:p>
      <w:pPr>
        <w:spacing w:after="60"/>
      </w:pPr>
    </w:p>
    <w:p>
      <w:pPr>
        <w:pStyle w:val="Heading3"/>
        <w:spacing w:after="60" w:before="160"/>
      </w:pPr>
      <w:r>
        <w:rPr>
          <w:rFonts w:ascii="Arial" w:cs="Arial" w:eastAsia="Arial" w:hAnsi="Arial"/>
          <w:b/>
          <w:bCs/>
          <w:color w:val="3A3A3A"/>
          <w:sz w:val="22"/>
          <w:szCs w:val="22"/>
        </w:rPr>
        <w:t xml:space="preserve">Robin aligns with Goldman Sachs in:</w:t>
      </w:r>
    </w:p>
    <w:p>
      <w:pPr>
        <w:pStyle w:val="ListParagraph"/>
        <w:numPr>
          <w:ilvl w:val="0"/>
          <w:numId w:val="2"/>
        </w:numPr>
        <w:spacing w:after="80"/>
      </w:pPr>
      <w:r>
        <w:rPr>
          <w:rFonts w:ascii="Arial" w:cs="Arial" w:eastAsia="Arial" w:hAnsi="Arial"/>
          <w:sz w:val="20"/>
          <w:szCs w:val="20"/>
        </w:rPr>
        <w:t xml:space="preserve">C++ options pricing (Monte Carlo with xoshiro256) — SecDB uses similar numerical methods.</w:t>
      </w:r>
    </w:p>
    <w:p>
      <w:pPr>
        <w:pStyle w:val="ListParagraph"/>
        <w:numPr>
          <w:ilvl w:val="0"/>
          <w:numId w:val="2"/>
        </w:numPr>
        <w:spacing w:after="80"/>
      </w:pPr>
      <w:r>
        <w:rPr>
          <w:rFonts w:ascii="Arial" w:cs="Arial" w:eastAsia="Arial" w:hAnsi="Arial"/>
          <w:sz w:val="20"/>
          <w:szCs w:val="20"/>
        </w:rPr>
        <w:t xml:space="preserve">Pre-trade risk gate architecture mirrors Goldman's Market Risk and Credit Risk pre-clearance.</w:t>
      </w:r>
    </w:p>
    <w:p>
      <w:pPr>
        <w:pStyle w:val="ListParagraph"/>
        <w:numPr>
          <w:ilvl w:val="0"/>
          <w:numId w:val="2"/>
        </w:numPr>
        <w:spacing w:after="80"/>
      </w:pPr>
      <w:r>
        <w:rPr>
          <w:rFonts w:ascii="Arial" w:cs="Arial" w:eastAsia="Arial" w:hAnsi="Arial"/>
          <w:sz w:val="20"/>
          <w:szCs w:val="20"/>
        </w:rPr>
        <w:t xml:space="preserve">SEC 15c3-5 hard-block design (7 hard blocks) maps directly to Goldman's Market Access Rule compliance.</w:t>
      </w:r>
    </w:p>
    <w:p>
      <w:pPr>
        <w:spacing w:after="60"/>
      </w:pPr>
    </w:p>
    <w:p>
      <w:pPr>
        <w:pStyle w:val="Heading3"/>
        <w:spacing w:after="60" w:before="160"/>
      </w:pPr>
      <w:r>
        <w:rPr>
          <w:rFonts w:ascii="Arial" w:cs="Arial" w:eastAsia="Arial" w:hAnsi="Arial"/>
          <w:b/>
          <w:bCs/>
          <w:color w:val="3A3A3A"/>
          <w:sz w:val="22"/>
          <w:szCs w:val="22"/>
        </w:rPr>
        <w:t xml:space="preserve">Robin must add to match Goldman Sachs:</w:t>
      </w:r>
    </w:p>
    <w:p>
      <w:pPr>
        <w:pStyle w:val="ListParagraph"/>
        <w:numPr>
          <w:ilvl w:val="0"/>
          <w:numId w:val="2"/>
        </w:numPr>
        <w:spacing w:after="80"/>
      </w:pPr>
      <w:r>
        <w:rPr>
          <w:rFonts w:ascii="Arial" w:cs="Arial" w:eastAsia="Arial" w:hAnsi="Arial"/>
          <w:sz w:val="20"/>
          <w:szCs w:val="20"/>
        </w:rPr>
        <w:t xml:space="preserve">mTLS between all internal services — SecDB uses certificate-pinned mTLS.</w:t>
      </w:r>
    </w:p>
    <w:p>
      <w:pPr>
        <w:pStyle w:val="ListParagraph"/>
        <w:numPr>
          <w:ilvl w:val="0"/>
          <w:numId w:val="2"/>
        </w:numPr>
        <w:spacing w:after="80"/>
      </w:pPr>
      <w:r>
        <w:rPr>
          <w:rFonts w:ascii="Arial" w:cs="Arial" w:eastAsia="Arial" w:hAnsi="Arial"/>
          <w:sz w:val="20"/>
          <w:szCs w:val="20"/>
        </w:rPr>
        <w:t xml:space="preserve">HSM (Hardware Security Module): Thales Luna 7 or AWS CloudHSM for key management.</w:t>
      </w:r>
    </w:p>
    <w:p>
      <w:pPr>
        <w:pStyle w:val="ListParagraph"/>
        <w:numPr>
          <w:ilvl w:val="0"/>
          <w:numId w:val="2"/>
        </w:numPr>
        <w:spacing w:after="80"/>
      </w:pPr>
      <w:r>
        <w:rPr>
          <w:rFonts w:ascii="Arial" w:cs="Arial" w:eastAsia="Arial" w:hAnsi="Arial"/>
          <w:sz w:val="20"/>
          <w:szCs w:val="20"/>
        </w:rPr>
        <w:t xml:space="preserve">Real ONNX/ML inference: Goldman uses proprietary ML models for intraday alpha, spread prediction.</w:t>
      </w:r>
    </w:p>
    <w:p>
      <w:pPr>
        <w:pStyle w:val="ListParagraph"/>
        <w:numPr>
          <w:ilvl w:val="0"/>
          <w:numId w:val="2"/>
        </w:numPr>
        <w:spacing w:after="80"/>
      </w:pPr>
      <w:r>
        <w:rPr>
          <w:rFonts w:ascii="Arial" w:cs="Arial" w:eastAsia="Arial" w:hAnsi="Arial"/>
          <w:sz w:val="20"/>
          <w:szCs w:val="20"/>
        </w:rPr>
        <w:t xml:space="preserve">Path-dependent options (Asian, Barrier, American) — SecDB's pricing library covers all types.</w:t>
      </w:r>
    </w:p>
    <w:p>
      <w:pPr>
        <w:pStyle w:val="ListParagraph"/>
        <w:numPr>
          <w:ilvl w:val="0"/>
          <w:numId w:val="2"/>
        </w:numPr>
        <w:spacing w:after="80"/>
      </w:pPr>
      <w:r>
        <w:rPr>
          <w:rFonts w:ascii="Arial" w:cs="Arial" w:eastAsia="Arial" w:hAnsi="Arial"/>
          <w:sz w:val="20"/>
          <w:szCs w:val="20"/>
        </w:rPr>
        <w:t xml:space="preserve">FIX protocol gateway (FIX 4.2/4.4/5.0) — Goldman connects to exchanges via certified FIX engines.</w:t>
      </w:r>
    </w:p>
    <w:p>
      <w:pPr>
        <w:spacing w:after="60"/>
      </w:pPr>
    </w:p>
    <w:p>
      <w:pPr>
        <w:pStyle w:val="Heading2"/>
        <w:spacing w:after="80" w:before="240"/>
      </w:pPr>
      <w:r>
        <w:rPr>
          <w:rFonts w:ascii="Arial" w:cs="Arial" w:eastAsia="Arial" w:hAnsi="Arial"/>
          <w:b/>
          <w:bCs/>
          <w:color w:val="2E5F9E"/>
          <w:sz w:val="26"/>
          <w:szCs w:val="26"/>
        </w:rPr>
        <w:t xml:space="preserve">5.4 State Street — Alpha Platform</w:t>
      </w:r>
    </w:p>
    <w:p>
      <w:pPr>
        <w:spacing w:after="100"/>
      </w:pPr>
      <w:r>
        <w:rPr>
          <w:rFonts w:ascii="Arial" w:cs="Arial" w:eastAsia="Arial" w:hAnsi="Arial"/>
          <w:sz w:val="20"/>
          <w:szCs w:val="20"/>
        </w:rPr>
        <w:t xml:space="preserve">State Street Alpha is an end-to-end investment management platform providing front-to-back-office services. State Street manages $4+ trillion in assets and $44 trillion in custody.</w:t>
      </w:r>
    </w:p>
    <w:p>
      <w:pPr>
        <w:spacing w:after="60"/>
      </w:pPr>
    </w:p>
    <w:p>
      <w:pPr>
        <w:pStyle w:val="Heading3"/>
        <w:spacing w:after="60" w:before="160"/>
      </w:pPr>
      <w:r>
        <w:rPr>
          <w:rFonts w:ascii="Arial" w:cs="Arial" w:eastAsia="Arial" w:hAnsi="Arial"/>
          <w:b/>
          <w:bCs/>
          <w:color w:val="3A3A3A"/>
          <w:sz w:val="22"/>
          <w:szCs w:val="22"/>
        </w:rPr>
        <w:t xml:space="preserve">Robin aligns with State Street in:</w:t>
      </w:r>
    </w:p>
    <w:p>
      <w:pPr>
        <w:pStyle w:val="ListParagraph"/>
        <w:numPr>
          <w:ilvl w:val="0"/>
          <w:numId w:val="2"/>
        </w:numPr>
        <w:spacing w:after="80"/>
      </w:pPr>
      <w:r>
        <w:rPr>
          <w:rFonts w:ascii="Arial" w:cs="Arial" w:eastAsia="Arial" w:hAnsi="Arial"/>
          <w:sz w:val="20"/>
          <w:szCs w:val="20"/>
        </w:rPr>
        <w:t xml:space="preserve">Go Orchestrator service registry maps to Alpha's service mesh orchestration concept.</w:t>
      </w:r>
    </w:p>
    <w:p>
      <w:pPr>
        <w:pStyle w:val="ListParagraph"/>
        <w:numPr>
          <w:ilvl w:val="0"/>
          <w:numId w:val="2"/>
        </w:numPr>
        <w:spacing w:after="80"/>
      </w:pPr>
      <w:r>
        <w:rPr>
          <w:rFonts w:ascii="Arial" w:cs="Arial" w:eastAsia="Arial" w:hAnsi="Arial"/>
          <w:sz w:val="20"/>
          <w:szCs w:val="20"/>
        </w:rPr>
        <w:t xml:space="preserve">WORM audit log (SHA-256 chain) aligns with Alpha's immutable transaction record requirements.</w:t>
      </w:r>
    </w:p>
    <w:p>
      <w:pPr>
        <w:pStyle w:val="ListParagraph"/>
        <w:numPr>
          <w:ilvl w:val="0"/>
          <w:numId w:val="2"/>
        </w:numPr>
        <w:spacing w:after="80"/>
      </w:pPr>
      <w:r>
        <w:rPr>
          <w:rFonts w:ascii="Arial" w:cs="Arial" w:eastAsia="Arial" w:hAnsi="Arial"/>
          <w:sz w:val="20"/>
          <w:szCs w:val="20"/>
        </w:rPr>
        <w:t xml:space="preserve">Prometheus metrics and health endpoints mirror Alpha's observability stack.</w:t>
      </w:r>
    </w:p>
    <w:p>
      <w:pPr>
        <w:spacing w:after="60"/>
      </w:pPr>
    </w:p>
    <w:p>
      <w:pPr>
        <w:pStyle w:val="Heading3"/>
        <w:spacing w:after="60" w:before="160"/>
      </w:pPr>
      <w:r>
        <w:rPr>
          <w:rFonts w:ascii="Arial" w:cs="Arial" w:eastAsia="Arial" w:hAnsi="Arial"/>
          <w:b/>
          <w:bCs/>
          <w:color w:val="3A3A3A"/>
          <w:sz w:val="22"/>
          <w:szCs w:val="22"/>
        </w:rPr>
        <w:t xml:space="preserve">Robin must add to match State Street Alpha:</w:t>
      </w:r>
    </w:p>
    <w:p>
      <w:pPr>
        <w:pStyle w:val="ListParagraph"/>
        <w:numPr>
          <w:ilvl w:val="0"/>
          <w:numId w:val="2"/>
        </w:numPr>
        <w:spacing w:after="80"/>
      </w:pPr>
      <w:r>
        <w:rPr>
          <w:rFonts w:ascii="Arial" w:cs="Arial" w:eastAsia="Arial" w:hAnsi="Arial"/>
          <w:sz w:val="20"/>
          <w:szCs w:val="20"/>
        </w:rPr>
        <w:t xml:space="preserve">Order Management System (OMS) — full lifecycle: new order → partial fill → full fill → booking.</w:t>
      </w:r>
    </w:p>
    <w:p>
      <w:pPr>
        <w:pStyle w:val="ListParagraph"/>
        <w:numPr>
          <w:ilvl w:val="0"/>
          <w:numId w:val="2"/>
        </w:numPr>
        <w:spacing w:after="80"/>
      </w:pPr>
      <w:r>
        <w:rPr>
          <w:rFonts w:ascii="Arial" w:cs="Arial" w:eastAsia="Arial" w:hAnsi="Arial"/>
          <w:sz w:val="20"/>
          <w:szCs w:val="20"/>
        </w:rPr>
        <w:t xml:space="preserve">Portfolio Accounting: mark-to-market P&amp;L, accruals, corporate actions.</w:t>
      </w:r>
    </w:p>
    <w:p>
      <w:pPr>
        <w:pStyle w:val="ListParagraph"/>
        <w:numPr>
          <w:ilvl w:val="0"/>
          <w:numId w:val="2"/>
        </w:numPr>
        <w:spacing w:after="80"/>
      </w:pPr>
      <w:r>
        <w:rPr>
          <w:rFonts w:ascii="Arial" w:cs="Arial" w:eastAsia="Arial" w:hAnsi="Arial"/>
          <w:sz w:val="20"/>
          <w:szCs w:val="20"/>
        </w:rPr>
        <w:t xml:space="preserve">Fund Administrator connectivity: NAV calculation, transfer agency, fund accounting.</w:t>
      </w:r>
    </w:p>
    <w:p>
      <w:pPr>
        <w:pStyle w:val="ListParagraph"/>
        <w:numPr>
          <w:ilvl w:val="0"/>
          <w:numId w:val="2"/>
        </w:numPr>
        <w:spacing w:after="80"/>
      </w:pPr>
      <w:r>
        <w:rPr>
          <w:rFonts w:ascii="Arial" w:cs="Arial" w:eastAsia="Arial" w:hAnsi="Arial"/>
          <w:sz w:val="20"/>
          <w:szCs w:val="20"/>
        </w:rPr>
        <w:t xml:space="preserve">Multi-custodian support: connectivity to DTC, Euroclear, and prime brokers.</w:t>
      </w:r>
    </w:p>
    <w:p>
      <w:pPr>
        <w:pStyle w:val="ListParagraph"/>
        <w:numPr>
          <w:ilvl w:val="0"/>
          <w:numId w:val="2"/>
        </w:numPr>
        <w:spacing w:after="80"/>
      </w:pPr>
      <w:r>
        <w:rPr>
          <w:rFonts w:ascii="Arial" w:cs="Arial" w:eastAsia="Arial" w:hAnsi="Arial"/>
          <w:sz w:val="20"/>
          <w:szCs w:val="20"/>
        </w:rPr>
        <w:t xml:space="preserve">SOC 2 Type II certification — mandatory for institutional custody clients.</w:t>
      </w:r>
    </w:p>
    <w:p>
      <w:pPr>
        <w:spacing w:after="60"/>
      </w:pPr>
    </w:p>
    <w:p>
      <w:pPr>
        <w:pStyle w:val="Heading2"/>
        <w:spacing w:after="80" w:before="240"/>
      </w:pPr>
      <w:r>
        <w:rPr>
          <w:rFonts w:ascii="Arial" w:cs="Arial" w:eastAsia="Arial" w:hAnsi="Arial"/>
          <w:b/>
          <w:bCs/>
          <w:color w:val="2E5F9E"/>
          <w:sz w:val="26"/>
          <w:szCs w:val="26"/>
        </w:rPr>
        <w:t xml:space="preserve">5.5 Two Sigma / Citadel / Jane Street — HFT &amp; Quant Shops</w:t>
      </w:r>
    </w:p>
    <w:p>
      <w:pPr>
        <w:spacing w:after="100"/>
      </w:pPr>
      <w:r>
        <w:rPr>
          <w:rFonts w:ascii="Arial" w:cs="Arial" w:eastAsia="Arial" w:hAnsi="Arial"/>
          <w:sz w:val="20"/>
          <w:szCs w:val="20"/>
        </w:rPr>
        <w:t xml:space="preserve">These firms operate at the bleeding edge of latency: Two Sigma runs systematic ML strategies, Citadel is the world's largest market maker, and Jane Street is the dominant ETF arbitrageur.</w:t>
      </w:r>
    </w:p>
    <w:p>
      <w:pPr>
        <w:spacing w:after="60"/>
      </w:pPr>
    </w:p>
    <w:p>
      <w:pPr>
        <w:pStyle w:val="Heading3"/>
        <w:spacing w:after="60" w:before="160"/>
      </w:pPr>
      <w:r>
        <w:rPr>
          <w:rFonts w:ascii="Arial" w:cs="Arial" w:eastAsia="Arial" w:hAnsi="Arial"/>
          <w:b/>
          <w:bCs/>
          <w:color w:val="3A3A3A"/>
          <w:sz w:val="22"/>
          <w:szCs w:val="22"/>
        </w:rPr>
        <w:t xml:space="preserve">Robin aligns with HFT firms in:</w:t>
      </w:r>
    </w:p>
    <w:p>
      <w:pPr>
        <w:pStyle w:val="ListParagraph"/>
        <w:numPr>
          <w:ilvl w:val="0"/>
          <w:numId w:val="2"/>
        </w:numPr>
        <w:spacing w:after="80"/>
      </w:pPr>
      <w:r>
        <w:rPr>
          <w:rFonts w:ascii="Arial" w:cs="Arial" w:eastAsia="Arial" w:hAnsi="Arial"/>
          <w:sz w:val="20"/>
          <w:szCs w:val="20"/>
        </w:rPr>
        <w:t xml:space="preserve">POSIX SHM SPSC ring IPC — identical to internal IPC at Citadel and Two Sigma.</w:t>
      </w:r>
    </w:p>
    <w:p>
      <w:pPr>
        <w:pStyle w:val="ListParagraph"/>
        <w:numPr>
          <w:ilvl w:val="0"/>
          <w:numId w:val="2"/>
        </w:numPr>
        <w:spacing w:after="80"/>
      </w:pPr>
      <w:r>
        <w:rPr>
          <w:rFonts w:ascii="Arial" w:cs="Arial" w:eastAsia="Arial" w:hAnsi="Arial"/>
          <w:sz w:val="20"/>
          <w:szCs w:val="20"/>
        </w:rPr>
        <w:t xml:space="preserve">Lock-free data structures throughout the hot path.</w:t>
      </w:r>
    </w:p>
    <w:p>
      <w:pPr>
        <w:pStyle w:val="ListParagraph"/>
        <w:numPr>
          <w:ilvl w:val="0"/>
          <w:numId w:val="2"/>
        </w:numPr>
        <w:spacing w:after="80"/>
      </w:pPr>
      <w:r>
        <w:rPr>
          <w:rFonts w:ascii="Arial" w:cs="Arial" w:eastAsia="Arial" w:hAnsi="Arial"/>
          <w:sz w:val="20"/>
          <w:szCs w:val="20"/>
        </w:rPr>
        <w:t xml:space="preserve">TSC-based latency measurement (RDTSCP) — standard for HFT benchmarking.</w:t>
      </w:r>
    </w:p>
    <w:p>
      <w:pPr>
        <w:pStyle w:val="ListParagraph"/>
        <w:numPr>
          <w:ilvl w:val="0"/>
          <w:numId w:val="2"/>
        </w:numPr>
        <w:spacing w:after="80"/>
      </w:pPr>
      <w:r>
        <w:rPr>
          <w:rFonts w:ascii="Arial" w:cs="Arial" w:eastAsia="Arial" w:hAnsi="Arial"/>
          <w:sz w:val="20"/>
          <w:szCs w:val="20"/>
        </w:rPr>
        <w:t xml:space="preserve">ITCH/OUCH protocol parsing — exchange-native protocols used by all market makers.</w:t>
      </w:r>
    </w:p>
    <w:p>
      <w:pPr>
        <w:spacing w:after="60"/>
      </w:pPr>
    </w:p>
    <w:p>
      <w:pPr>
        <w:pStyle w:val="Heading3"/>
        <w:spacing w:after="60" w:before="160"/>
      </w:pPr>
      <w:r>
        <w:rPr>
          <w:rFonts w:ascii="Arial" w:cs="Arial" w:eastAsia="Arial" w:hAnsi="Arial"/>
          <w:b/>
          <w:bCs/>
          <w:color w:val="3A3A3A"/>
          <w:sz w:val="22"/>
          <w:szCs w:val="22"/>
        </w:rPr>
        <w:t xml:space="preserve">Robin must add to match HFT firms:</w:t>
      </w:r>
    </w:p>
    <w:p>
      <w:pPr>
        <w:pStyle w:val="ListParagraph"/>
        <w:numPr>
          <w:ilvl w:val="0"/>
          <w:numId w:val="2"/>
        </w:numPr>
        <w:spacing w:after="80"/>
      </w:pPr>
      <w:r>
        <w:rPr>
          <w:rFonts w:ascii="Arial" w:cs="Arial" w:eastAsia="Arial" w:hAnsi="Arial"/>
          <w:sz w:val="20"/>
          <w:szCs w:val="20"/>
        </w:rPr>
        <w:t xml:space="preserve">Real FPGA synthesis on Xilinx Alveo U50: order match in &lt;10ns. Current CPU sim is ~1μs.</w:t>
      </w:r>
    </w:p>
    <w:p>
      <w:pPr>
        <w:pStyle w:val="ListParagraph"/>
        <w:numPr>
          <w:ilvl w:val="0"/>
          <w:numId w:val="2"/>
        </w:numPr>
        <w:spacing w:after="80"/>
      </w:pPr>
      <w:r>
        <w:rPr>
          <w:rFonts w:ascii="Arial" w:cs="Arial" w:eastAsia="Arial" w:hAnsi="Arial"/>
          <w:sz w:val="20"/>
          <w:szCs w:val="20"/>
        </w:rPr>
        <w:t xml:space="preserve">DPDK kernel bypass: Intel E810-CQDA2 + DPDK 23.11 to eliminate kernel jitter.</w:t>
      </w:r>
    </w:p>
    <w:p>
      <w:pPr>
        <w:pStyle w:val="ListParagraph"/>
        <w:numPr>
          <w:ilvl w:val="0"/>
          <w:numId w:val="2"/>
        </w:numPr>
        <w:spacing w:after="80"/>
      </w:pPr>
      <w:r>
        <w:rPr>
          <w:rFonts w:ascii="Arial" w:cs="Arial" w:eastAsia="Arial" w:hAnsi="Arial"/>
          <w:sz w:val="20"/>
          <w:szCs w:val="20"/>
        </w:rPr>
        <w:t xml:space="preserve">PREEMPT_RT kernel with CPU core isolation (isolcpus, nohz_full, rcu_nocbs).</w:t>
      </w:r>
    </w:p>
    <w:p>
      <w:pPr>
        <w:pStyle w:val="ListParagraph"/>
        <w:numPr>
          <w:ilvl w:val="0"/>
          <w:numId w:val="2"/>
        </w:numPr>
        <w:spacing w:after="80"/>
      </w:pPr>
      <w:r>
        <w:rPr>
          <w:rFonts w:ascii="Arial" w:cs="Arial" w:eastAsia="Arial" w:hAnsi="Arial"/>
          <w:sz w:val="20"/>
          <w:szCs w:val="20"/>
        </w:rPr>
        <w:t xml:space="preserve">Co-location: Two Sigma, Citadel, Jane Street co-locate at NYSE/NASDAQ data centres (Mahwah, NJ).</w:t>
      </w:r>
    </w:p>
    <w:p>
      <w:pPr>
        <w:pStyle w:val="ListParagraph"/>
        <w:numPr>
          <w:ilvl w:val="0"/>
          <w:numId w:val="2"/>
        </w:numPr>
        <w:spacing w:after="80"/>
      </w:pPr>
      <w:r>
        <w:rPr>
          <w:rFonts w:ascii="Arial" w:cs="Arial" w:eastAsia="Arial" w:hAnsi="Arial"/>
          <w:sz w:val="20"/>
          <w:szCs w:val="20"/>
        </w:rPr>
        <w:t xml:space="preserve">Smart order routing (SOR) across multiple venues: NYSE, NASDAQ, CBOE, IEX, dark pools.</w:t>
      </w:r>
    </w:p>
    <w:p>
      <w:pPr>
        <w:pStyle w:val="ListParagraph"/>
        <w:numPr>
          <w:ilvl w:val="0"/>
          <w:numId w:val="2"/>
        </w:numPr>
        <w:spacing w:after="80"/>
      </w:pPr>
      <w:r>
        <w:rPr>
          <w:rFonts w:ascii="Arial" w:cs="Arial" w:eastAsia="Arial" w:hAnsi="Arial"/>
          <w:sz w:val="20"/>
          <w:szCs w:val="20"/>
        </w:rPr>
        <w:t xml:space="preserve">Market-making P&amp;L attribution: spread capture, inventory risk, adverse selection measurement.</w:t>
      </w:r>
    </w:p>
    <w:p>
      <w:r>
        <w:br w:type="page"/>
      </w:r>
    </w:p>
    <w:p>
      <w:pPr>
        <w:pStyle w:val="Heading1"/>
        <w:spacing w:after="120" w:before="360"/>
      </w:pPr>
      <w:r>
        <w:rPr>
          <w:rFonts w:ascii="Arial" w:cs="Arial" w:eastAsia="Arial" w:hAnsi="Arial"/>
          <w:b/>
          <w:bCs/>
          <w:color w:val="1A3C6E"/>
          <w:sz w:val="32"/>
          <w:szCs w:val="32"/>
        </w:rPr>
        <w:t xml:space="preserve">6. Latency Gap Analysis</w:t>
      </w:r>
    </w:p>
    <w:p>
      <w:pPr>
        <w:spacing w:after="60"/>
      </w:pPr>
      <w:r>
        <w:t>A granular latency analysis of Robin's hot path (ingestion → risk gate → matching engine) reveals that while the architectural framework is correctly designed for zero-copy lock-free flow, several key implementation details introduce significant software latency and jitter. The current CPU-simulated latency of 1 to 10 microseconds prevents the platform from competing with top-tier HFT firms like Jane Street, Citadel, and Two Sigma, which achieve sub-microsecond and nanosecond execution. The table below outlines the measured latency gaps and required remediations for each component in the hot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c>
          <w:tcPr>
            <w:tcW w:type="dxa" w:w="280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187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(Measured)</w:t>
            </w:r>
          </w:p>
        </w:tc>
        <w:tc>
          <w:tcPr>
            <w:tcW w:type="dxa" w:w="187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280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Fix Required</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Network Ingestion</w:t>
            </w:r>
          </w:p>
        </w:tc>
        <w:tc>
          <w:tcPr>
            <w:tcW w:type="dxa" w:w="1872"/>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~5–10 μs</w:t>
            </w:r>
          </w:p>
        </w:tc>
        <w:tc>
          <w:tcPr>
            <w:tcW w:type="dxa" w:w="1872"/>
            <w:tcBorders>
              <w:top w:val="single" w:color="CCCCCC" w:sz="1"/>
              <w:left w:val="single" w:color="CCCCCC" w:sz="1"/>
              <w:bottom w:val="single" w:color="CCCCCC" w:sz="1"/>
              <w:right w:val="single" w:color="CCCCCC" w:sz="1"/>
            </w:tcBorders>
            <w:shd w:fill="D6F4E0" w:val="clear"/>
            <w:tcMar>
              <w:top w:type="dxa" w:w="80"/>
              <w:left w:type="dxa" w:w="120"/>
              <w:bottom w:type="dxa" w:w="80"/>
              <w:right w:type="dxa" w:w="120"/>
            </w:tcMar>
            <w:vAlign w:val="center"/>
          </w:tcPr>
          <w:p>
            <w:r>
              <w:rPr>
                <w:rFonts w:ascii="Arial" w:cs="Arial" w:eastAsia="Arial" w:hAnsi="Arial"/>
                <w:b w:val="false"/>
                <w:bCs w:val="false"/>
                <w:sz w:val="18"/>
                <w:szCs w:val="18"/>
              </w:rPr>
              <w:t xml:space="preserve">&lt; 500 ns</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DPDK + kernel bypass + PREEMPT_RT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SHM IPC (mmap SPSC)</w:t>
            </w:r>
          </w:p>
        </w:tc>
        <w:tc>
          <w:tcPr>
            <w:tcW w:type="dxa" w:w="1872"/>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~100–500 ns</w:t>
            </w:r>
          </w:p>
        </w:tc>
        <w:tc>
          <w:tcPr>
            <w:tcW w:type="dxa" w:w="1872"/>
            <w:tcBorders>
              <w:top w:val="single" w:color="CCCCCC" w:sz="1"/>
              <w:left w:val="single" w:color="CCCCCC" w:sz="1"/>
              <w:bottom w:val="single" w:color="CCCCCC" w:sz="1"/>
              <w:right w:val="single" w:color="CCCCCC" w:sz="1"/>
            </w:tcBorders>
            <w:shd w:fill="D6F4E0" w:val="clear"/>
            <w:tcMar>
              <w:top w:type="dxa" w:w="80"/>
              <w:left w:type="dxa" w:w="120"/>
              <w:bottom w:type="dxa" w:w="80"/>
              <w:right w:type="dxa" w:w="120"/>
            </w:tcMar>
            <w:vAlign w:val="center"/>
          </w:tcPr>
          <w:p>
            <w:r>
              <w:rPr>
                <w:rFonts w:ascii="Arial" w:cs="Arial" w:eastAsia="Arial" w:hAnsi="Arial"/>
                <w:b w:val="false"/>
                <w:bCs w:val="false"/>
                <w:sz w:val="18"/>
                <w:szCs w:val="18"/>
              </w:rPr>
              <w:t xml:space="preserve">&lt; 50 ns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Replace write_volatile with SeqCst atomics + SFENCE</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Rust Risk Gate</w:t>
            </w:r>
          </w:p>
        </w:tc>
        <w:tc>
          <w:tcPr>
            <w:tcW w:type="dxa" w:w="1872"/>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~1–5 μs</w:t>
            </w:r>
          </w:p>
        </w:tc>
        <w:tc>
          <w:tcPr>
            <w:tcW w:type="dxa" w:w="1872"/>
            <w:tcBorders>
              <w:top w:val="single" w:color="CCCCCC" w:sz="1"/>
              <w:left w:val="single" w:color="CCCCCC" w:sz="1"/>
              <w:bottom w:val="single" w:color="CCCCCC" w:sz="1"/>
              <w:right w:val="single" w:color="CCCCCC" w:sz="1"/>
            </w:tcBorders>
            <w:shd w:fill="D6F4E0" w:val="clear"/>
            <w:tcMar>
              <w:top w:type="dxa" w:w="80"/>
              <w:left w:type="dxa" w:w="120"/>
              <w:bottom w:type="dxa" w:w="80"/>
              <w:right w:type="dxa" w:w="120"/>
            </w:tcMar>
            <w:vAlign w:val="center"/>
          </w:tcPr>
          <w:p>
            <w:r>
              <w:rPr>
                <w:rFonts w:ascii="Arial" w:cs="Arial" w:eastAsia="Arial" w:hAnsi="Arial"/>
                <w:b w:val="false"/>
                <w:bCs w:val="false"/>
                <w:sz w:val="18"/>
                <w:szCs w:val="18"/>
              </w:rPr>
              <w:t xml:space="preserve">&lt; 200 ns</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Eliminate HashMap, use SIMD for symbol lookup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 Matching Engine</w:t>
            </w:r>
          </w:p>
        </w:tc>
        <w:tc>
          <w:tcPr>
            <w:tcW w:type="dxa" w:w="1872"/>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~1–10 μs</w:t>
            </w:r>
          </w:p>
        </w:tc>
        <w:tc>
          <w:tcPr>
            <w:tcW w:type="dxa" w:w="1872"/>
            <w:tcBorders>
              <w:top w:val="single" w:color="CCCCCC" w:sz="1"/>
              <w:left w:val="single" w:color="CCCCCC" w:sz="1"/>
              <w:bottom w:val="single" w:color="CCCCCC" w:sz="1"/>
              <w:right w:val="single" w:color="CCCCCC" w:sz="1"/>
            </w:tcBorders>
            <w:shd w:fill="D6F4E0" w:val="clear"/>
            <w:tcMar>
              <w:top w:type="dxa" w:w="80"/>
              <w:left w:type="dxa" w:w="120"/>
              <w:bottom w:type="dxa" w:w="80"/>
              <w:right w:type="dxa" w:w="120"/>
            </w:tcMar>
            <w:vAlign w:val="center"/>
          </w:tcPr>
          <w:p>
            <w:r>
              <w:rPr>
                <w:rFonts w:ascii="Arial" w:cs="Arial" w:eastAsia="Arial" w:hAnsi="Arial"/>
                <w:b w:val="false"/>
                <w:bCs w:val="false"/>
                <w:sz w:val="18"/>
                <w:szCs w:val="18"/>
              </w:rPr>
              <w:t xml:space="preserve">&lt; 300 ns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Replace std::vector with pre-allocated pool, true price-time</w:t>
            </w:r>
          </w:p>
        </w:tc>
      </w:tr>
      <w:tr>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End-to-End Hot Path</w:t>
            </w:r>
          </w:p>
        </w:tc>
        <w:tc>
          <w:tcPr>
            <w:tcW w:type="dxa" w:w="1872"/>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Unknown (no E2E test)</w:t>
            </w:r>
          </w:p>
        </w:tc>
        <w:tc>
          <w:tcPr>
            <w:tcW w:type="dxa" w:w="1872"/>
            <w:tcBorders>
              <w:top w:val="single" w:color="CCCCCC" w:sz="1"/>
              <w:left w:val="single" w:color="CCCCCC" w:sz="1"/>
              <w:bottom w:val="single" w:color="CCCCCC" w:sz="1"/>
              <w:right w:val="single" w:color="CCCCCC" w:sz="1"/>
            </w:tcBorders>
            <w:shd w:fill="D6F4E0" w:val="clear"/>
            <w:tcMar>
              <w:top w:type="dxa" w:w="80"/>
              <w:left w:type="dxa" w:w="120"/>
              <w:bottom w:type="dxa" w:w="80"/>
              <w:right w:type="dxa" w:w="120"/>
            </w:tcMar>
            <w:vAlign w:val="center"/>
          </w:tcPr>
          <w:p>
            <w:r>
              <w:rPr>
                <w:rFonts w:ascii="Arial" w:cs="Arial" w:eastAsia="Arial" w:hAnsi="Arial"/>
                <w:b w:val="false"/>
                <w:bCs w:val="false"/>
                <w:sz w:val="18"/>
                <w:szCs w:val="18"/>
              </w:rPr>
              <w:t xml:space="preserve">&lt; 740 ns</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 of the above + FPGA for network/matching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FPGA Simulation</w:t>
            </w:r>
          </w:p>
        </w:tc>
        <w:tc>
          <w:tcPr>
            <w:tcW w:type="dxa" w:w="1872"/>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μs (CPU memcpy)</w:t>
            </w:r>
          </w:p>
        </w:tc>
        <w:tc>
          <w:tcPr>
            <w:tcW w:type="dxa" w:w="1872"/>
            <w:tcBorders>
              <w:top w:val="single" w:color="CCCCCC" w:sz="1"/>
              <w:left w:val="single" w:color="CCCCCC" w:sz="1"/>
              <w:bottom w:val="single" w:color="CCCCCC" w:sz="1"/>
              <w:right w:val="single" w:color="CCCCCC" w:sz="1"/>
            </w:tcBorders>
            <w:shd w:fill="D6F4E0" w:val="clear"/>
            <w:tcMar>
              <w:top w:type="dxa" w:w="80"/>
              <w:left w:type="dxa" w:w="120"/>
              <w:bottom w:type="dxa" w:w="80"/>
              <w:right w:type="dxa" w:w="120"/>
            </w:tcMar>
            <w:vAlign w:val="center"/>
          </w:tcPr>
          <w:p>
            <w:r>
              <w:rPr>
                <w:rFonts w:ascii="Arial" w:cs="Arial" w:eastAsia="Arial" w:hAnsi="Arial"/>
                <w:b w:val="false"/>
                <w:bCs w:val="false"/>
                <w:sz w:val="18"/>
                <w:szCs w:val="18"/>
              </w:rPr>
              <w:t xml:space="preserve">&lt; 10 ns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Synthesize Vitis HLS on Xilinx Alveo U50</w:t>
            </w:r>
          </w:p>
        </w:tc>
      </w:tr>
    </w:tbl>
    <w:p>
      <w:r>
        <w:t>The cumulative target for the end-to-end hot path is less than 740 nanoseconds. Achieving this benchmark requires replacing the standard Linux UDP network stack with a kernel-bypass solution (DPDK), refactoring the Rust risk gate to eliminate HashMap lookups in favor of SIMD-based structures, and moving the matching engine's order book operations from CPU memory blocks to high-speed FPGA hardware (Xilinx Alveo U50). Hardware-level PREEMPT_RT kernel tuning, CPU core isolation, and NUMA-aware memory mappings are also required to eliminate the OS scheduling jitter shown in the current measurements.</w:t>
      </w:r>
    </w:p>
    <w:p>
      <w:pPr>
        <w:pStyle w:val="Heading1"/>
        <w:spacing w:after="120" w:before="360"/>
      </w:pPr>
      <w:r>
        <w:rPr>
          <w:rFonts w:ascii="Arial" w:cs="Arial" w:eastAsia="Arial" w:hAnsi="Arial"/>
          <w:b/>
          <w:bCs/>
          <w:color w:val="1A3C6E"/>
          <w:sz w:val="32"/>
          <w:szCs w:val="32"/>
        </w:rPr>
        <w:t xml:space="preserve">7. Prioritised Improvement Roadmap</w:t>
      </w:r>
    </w:p>
    <w:p>
      <w:pPr>
        <w:pStyle w:val="Heading2"/>
        <w:spacing w:after="80" w:before="240"/>
      </w:pPr>
      <w:r>
        <w:rPr>
          <w:rFonts w:ascii="Arial" w:cs="Arial" w:eastAsia="Arial" w:hAnsi="Arial"/>
          <w:b/>
          <w:bCs/>
          <w:color w:val="2E5F9E"/>
          <w:sz w:val="26"/>
          <w:szCs w:val="26"/>
        </w:rPr>
        <w:t xml:space="preserve">Phase 1 — Critical Bug Fixes &amp; Safety (Weeks 1–2)</w:t>
      </w:r>
    </w:p>
    <w:p>
      <w:pPr>
        <w:pStyle w:val="ListParagraph"/>
        <w:numPr>
          <w:ilvl w:val="0"/>
          <w:numId w:val="3"/>
        </w:numPr>
        <w:spacing w:after="80"/>
      </w:pPr>
      <w:r>
        <w:rPr>
          <w:rFonts w:ascii="Arial" w:cs="Arial" w:eastAsia="Arial" w:hAnsi="Arial"/>
          <w:sz w:val="20"/>
          <w:szCs w:val="20"/>
        </w:rPr>
        <w:t xml:space="preserve">Fix atomic operations in shm_bridge.rs: Replace write_volatile/read_volatile with std::sync::atomic::AtomicU64 with SeqCst ordering + SFENCE memory barrier.</w:t>
      </w:r>
    </w:p>
    <w:p>
      <w:pPr>
        <w:pStyle w:val="ListParagraph"/>
        <w:numPr>
          <w:ilvl w:val="0"/>
          <w:numId w:val="3"/>
        </w:numPr>
        <w:spacing w:after="80"/>
      </w:pPr>
      <w:r>
        <w:rPr>
          <w:rFonts w:ascii="Arial" w:cs="Arial" w:eastAsia="Arial" w:hAnsi="Arial"/>
          <w:sz w:val="20"/>
          <w:szCs w:val="20"/>
        </w:rPr>
        <w:t xml:space="preserve">Fix circuit_breaker.rs data race: Make current_drawdown an AtomicI64.</w:t>
      </w:r>
    </w:p>
    <w:p>
      <w:pPr>
        <w:pStyle w:val="ListParagraph"/>
        <w:numPr>
          <w:ilvl w:val="0"/>
          <w:numId w:val="3"/>
        </w:numPr>
        <w:spacing w:after="80"/>
      </w:pPr>
      <w:r>
        <w:rPr>
          <w:rFonts w:ascii="Arial" w:cs="Arial" w:eastAsia="Arial" w:hAnsi="Arial"/>
          <w:sz w:val="20"/>
          <w:szCs w:val="20"/>
        </w:rPr>
        <w:t xml:space="preserve">Fix JWT middleware in orchestrator.go: Integrate golang-jwt/jwt for signature verification (RS256/ES256).</w:t>
      </w:r>
    </w:p>
    <w:p>
      <w:pPr>
        <w:pStyle w:val="ListParagraph"/>
        <w:numPr>
          <w:ilvl w:val="0"/>
          <w:numId w:val="3"/>
        </w:numPr>
        <w:spacing w:after="80"/>
      </w:pPr>
      <w:r>
        <w:rPr>
          <w:rFonts w:ascii="Arial" w:cs="Arial" w:eastAsia="Arial" w:hAnsi="Arial"/>
          <w:sz w:val="20"/>
          <w:szCs w:val="20"/>
        </w:rPr>
        <w:t xml:space="preserve">Implement price-time priority matching in the C++ engine: use a sorted std::deque per price level, not plain FIFO.</w:t>
      </w:r>
    </w:p>
    <w:p>
      <w:pPr>
        <w:pStyle w:val="ListParagraph"/>
        <w:numPr>
          <w:ilvl w:val="0"/>
          <w:numId w:val="3"/>
        </w:numPr>
        <w:spacing w:after="80"/>
      </w:pPr>
      <w:r>
        <w:rPr>
          <w:rFonts w:ascii="Arial" w:cs="Arial" w:eastAsia="Arial" w:hAnsi="Arial"/>
          <w:sz w:val="20"/>
          <w:szCs w:val="20"/>
        </w:rPr>
        <w:t xml:space="preserve">Fix Vitis HLS synthesis issue: Replace variable-bound UNROLL pragma with a fixed constant.</w:t>
      </w:r>
    </w:p>
    <w:p>
      <w:pPr>
        <w:spacing w:after="60"/>
      </w:pPr>
    </w:p>
    <w:p>
      <w:pPr>
        <w:pStyle w:val="Heading2"/>
        <w:spacing w:after="80" w:before="240"/>
      </w:pPr>
      <w:r>
        <w:rPr>
          <w:rFonts w:ascii="Arial" w:cs="Arial" w:eastAsia="Arial" w:hAnsi="Arial"/>
          <w:b/>
          <w:bCs/>
          <w:color w:val="2E5F9E"/>
          <w:sz w:val="26"/>
          <w:szCs w:val="26"/>
        </w:rPr>
        <w:t xml:space="preserve">Phase 2 — Performance &amp; Network (Weeks 3–6)</w:t>
      </w:r>
    </w:p>
    <w:p>
      <w:pPr>
        <w:pStyle w:val="ListParagraph"/>
        <w:numPr>
          <w:ilvl w:val="0"/>
          <w:numId w:val="3"/>
        </w:numPr>
        <w:spacing w:after="80"/>
      </w:pPr>
      <w:r>
        <w:rPr>
          <w:rFonts w:ascii="Arial" w:cs="Arial" w:eastAsia="Arial" w:hAnsi="Arial"/>
          <w:sz w:val="20"/>
          <w:szCs w:val="20"/>
        </w:rPr>
        <w:t xml:space="preserve">Deploy DPDK 23.11 with Intel E810-CQDA2: eliminates kernel UDP jitter; targets &lt; 500ns ingestion.</w:t>
      </w:r>
    </w:p>
    <w:p>
      <w:pPr>
        <w:pStyle w:val="ListParagraph"/>
        <w:numPr>
          <w:ilvl w:val="0"/>
          <w:numId w:val="3"/>
        </w:numPr>
        <w:spacing w:after="80"/>
      </w:pPr>
      <w:r>
        <w:rPr>
          <w:rFonts w:ascii="Arial" w:cs="Arial" w:eastAsia="Arial" w:hAnsi="Arial"/>
          <w:sz w:val="20"/>
          <w:szCs w:val="20"/>
        </w:rPr>
        <w:t xml:space="preserve">Configure PREEMPT_RT kernel: isolcpus=2-15, nohz_full=2-15, hugepages=1024×1GB, C-state=0.</w:t>
      </w:r>
    </w:p>
    <w:p>
      <w:pPr>
        <w:pStyle w:val="ListParagraph"/>
        <w:numPr>
          <w:ilvl w:val="0"/>
          <w:numId w:val="3"/>
        </w:numPr>
        <w:spacing w:after="80"/>
      </w:pPr>
      <w:r>
        <w:rPr>
          <w:rFonts w:ascii="Arial" w:cs="Arial" w:eastAsia="Arial" w:hAnsi="Arial"/>
          <w:sz w:val="20"/>
          <w:szCs w:val="20"/>
        </w:rPr>
        <w:t xml:space="preserve">NUMA-aware memory allocation in the matching engine: ensure IPC rings and order book on same NUMA node.</w:t>
      </w:r>
    </w:p>
    <w:p>
      <w:pPr>
        <w:pStyle w:val="ListParagraph"/>
        <w:numPr>
          <w:ilvl w:val="0"/>
          <w:numId w:val="3"/>
        </w:numPr>
        <w:spacing w:after="80"/>
      </w:pPr>
      <w:r>
        <w:rPr>
          <w:rFonts w:ascii="Arial" w:cs="Arial" w:eastAsia="Arial" w:hAnsi="Arial"/>
          <w:sz w:val="20"/>
          <w:szCs w:val="20"/>
        </w:rPr>
        <w:t xml:space="preserve">Implement HdrHistogram latency tracking (p50/p99/p999/p9999) replacing avg/max-only.</w:t>
      </w:r>
    </w:p>
    <w:p>
      <w:pPr>
        <w:pStyle w:val="ListParagraph"/>
        <w:numPr>
          <w:ilvl w:val="0"/>
          <w:numId w:val="3"/>
        </w:numPr>
        <w:spacing w:after="80"/>
      </w:pPr>
      <w:r>
        <w:rPr>
          <w:rFonts w:ascii="Arial" w:cs="Arial" w:eastAsia="Arial" w:hAnsi="Arial"/>
          <w:sz w:val="20"/>
          <w:szCs w:val="20"/>
        </w:rPr>
        <w:t xml:space="preserve">Synthesize Vitis HLS order-match kernel on Xilinx Alveo U50 for FPGA acceleration.</w:t>
      </w:r>
    </w:p>
    <w:p>
      <w:pPr>
        <w:spacing w:after="60"/>
      </w:pPr>
    </w:p>
    <w:p>
      <w:pPr>
        <w:pStyle w:val="Heading2"/>
        <w:spacing w:after="80" w:before="240"/>
      </w:pPr>
      <w:r>
        <w:rPr>
          <w:rFonts w:ascii="Arial" w:cs="Arial" w:eastAsia="Arial" w:hAnsi="Arial"/>
          <w:b/>
          <w:bCs/>
          <w:color w:val="2E5F9E"/>
          <w:sz w:val="26"/>
          <w:szCs w:val="26"/>
        </w:rPr>
        <w:t xml:space="preserve">Phase 3 — Compliance &amp; Security (Weeks 7–12)</w:t>
      </w:r>
    </w:p>
    <w:p>
      <w:pPr>
        <w:pStyle w:val="ListParagraph"/>
        <w:numPr>
          <w:ilvl w:val="0"/>
          <w:numId w:val="3"/>
        </w:numPr>
        <w:spacing w:after="80"/>
      </w:pPr>
      <w:r>
        <w:rPr>
          <w:rFonts w:ascii="Arial" w:cs="Arial" w:eastAsia="Arial" w:hAnsi="Arial"/>
          <w:sz w:val="20"/>
          <w:szCs w:val="20"/>
        </w:rPr>
        <w:t xml:space="preserve">Engage a FINRA-approved third party for SEC 15c3-5 (Market Access Rule) certification review.</w:t>
      </w:r>
    </w:p>
    <w:p>
      <w:pPr>
        <w:pStyle w:val="ListParagraph"/>
        <w:numPr>
          <w:ilvl w:val="0"/>
          <w:numId w:val="3"/>
        </w:numPr>
        <w:spacing w:after="80"/>
      </w:pPr>
      <w:r>
        <w:rPr>
          <w:rFonts w:ascii="Arial" w:cs="Arial" w:eastAsia="Arial" w:hAnsi="Arial"/>
          <w:sz w:val="20"/>
          <w:szCs w:val="20"/>
        </w:rPr>
        <w:t xml:space="preserve">Implement MiFID II RTS 25 PTP clock synchronisation: deploy Linux PTP (linuxptp) with hardware timestamping on the E810 NIC.</w:t>
      </w:r>
    </w:p>
    <w:p>
      <w:pPr>
        <w:pStyle w:val="ListParagraph"/>
        <w:numPr>
          <w:ilvl w:val="0"/>
          <w:numId w:val="3"/>
        </w:numPr>
        <w:spacing w:after="80"/>
      </w:pPr>
      <w:r>
        <w:rPr>
          <w:rFonts w:ascii="Arial" w:cs="Arial" w:eastAsia="Arial" w:hAnsi="Arial"/>
          <w:sz w:val="20"/>
          <w:szCs w:val="20"/>
        </w:rPr>
        <w:t xml:space="preserve">Implement FINRA Rule 3110 supervisory workflow: principal approval gate for orders above $X threshold.</w:t>
      </w:r>
    </w:p>
    <w:p>
      <w:pPr>
        <w:pStyle w:val="ListParagraph"/>
        <w:numPr>
          <w:ilvl w:val="0"/>
          <w:numId w:val="3"/>
        </w:numPr>
        <w:spacing w:after="80"/>
      </w:pPr>
      <w:r>
        <w:rPr>
          <w:rFonts w:ascii="Arial" w:cs="Arial" w:eastAsia="Arial" w:hAnsi="Arial"/>
          <w:sz w:val="20"/>
          <w:szCs w:val="20"/>
        </w:rPr>
        <w:t xml:space="preserve">CEO annual certification workflow: digital signature flow for Rule 15c3-5 annual certification.</w:t>
      </w:r>
    </w:p>
    <w:p>
      <w:pPr>
        <w:pStyle w:val="ListParagraph"/>
        <w:numPr>
          <w:ilvl w:val="0"/>
          <w:numId w:val="3"/>
        </w:numPr>
        <w:spacing w:after="80"/>
      </w:pPr>
      <w:r>
        <w:rPr>
          <w:rFonts w:ascii="Arial" w:cs="Arial" w:eastAsia="Arial" w:hAnsi="Arial"/>
          <w:sz w:val="20"/>
          <w:szCs w:val="20"/>
        </w:rPr>
        <w:t xml:space="preserve">Deploy HashiCorp Vault for secrets management; replace all env-var secrets.</w:t>
      </w:r>
    </w:p>
    <w:p>
      <w:pPr>
        <w:pStyle w:val="ListParagraph"/>
        <w:numPr>
          <w:ilvl w:val="0"/>
          <w:numId w:val="3"/>
        </w:numPr>
        <w:spacing w:after="80"/>
      </w:pPr>
      <w:r>
        <w:rPr>
          <w:rFonts w:ascii="Arial" w:cs="Arial" w:eastAsia="Arial" w:hAnsi="Arial"/>
          <w:sz w:val="20"/>
          <w:szCs w:val="20"/>
        </w:rPr>
        <w:t xml:space="preserve">Implement mTLS between all services using cert-manager and a private CA.</w:t>
      </w:r>
    </w:p>
    <w:p>
      <w:pPr>
        <w:pStyle w:val="ListParagraph"/>
        <w:numPr>
          <w:ilvl w:val="0"/>
          <w:numId w:val="3"/>
        </w:numPr>
        <w:spacing w:after="80"/>
      </w:pPr>
      <w:r>
        <w:rPr>
          <w:rFonts w:ascii="Arial" w:cs="Arial" w:eastAsia="Arial" w:hAnsi="Arial"/>
          <w:sz w:val="20"/>
          <w:szCs w:val="20"/>
        </w:rPr>
        <w:t xml:space="preserve">Integrate Thales Luna 7 (or AWS CloudHSM) for HSM key management.</w:t>
      </w:r>
    </w:p>
    <w:p>
      <w:pPr>
        <w:pStyle w:val="ListParagraph"/>
        <w:numPr>
          <w:ilvl w:val="0"/>
          <w:numId w:val="3"/>
        </w:numPr>
        <w:spacing w:after="80"/>
      </w:pPr>
      <w:r>
        <w:rPr>
          <w:rFonts w:ascii="Arial" w:cs="Arial" w:eastAsia="Arial" w:hAnsi="Arial"/>
          <w:sz w:val="20"/>
          <w:szCs w:val="20"/>
        </w:rPr>
        <w:t xml:space="preserve">Begin SOC 2 Type II audit preparation: engage an independent AICPA-certified auditor.</w:t>
      </w:r>
    </w:p>
    <w:p>
      <w:pPr>
        <w:spacing w:after="60"/>
      </w:pPr>
    </w:p>
    <w:p>
      <w:pPr>
        <w:pStyle w:val="Heading2"/>
        <w:spacing w:after="80" w:before="240"/>
      </w:pPr>
      <w:r>
        <w:rPr>
          <w:rFonts w:ascii="Arial" w:cs="Arial" w:eastAsia="Arial" w:hAnsi="Arial"/>
          <w:b/>
          <w:bCs/>
          <w:color w:val="2E5F9E"/>
          <w:sz w:val="26"/>
          <w:szCs w:val="26"/>
        </w:rPr>
        <w:t xml:space="preserve">Phase 4 — Alpha Research &amp; AI (Weeks 13–18)</w:t>
      </w:r>
    </w:p>
    <w:p>
      <w:pPr>
        <w:pStyle w:val="ListParagraph"/>
        <w:numPr>
          <w:ilvl w:val="0"/>
          <w:numId w:val="3"/>
        </w:numPr>
        <w:spacing w:after="80"/>
      </w:pPr>
      <w:r>
        <w:rPr>
          <w:rFonts w:ascii="Arial" w:cs="Arial" w:eastAsia="Arial" w:hAnsi="Arial"/>
          <w:sz w:val="20"/>
          <w:szCs w:val="20"/>
        </w:rPr>
        <w:t xml:space="preserve">Connect AlternativeDataLoader to live APIs: Spire Maritime (AIS), Planet Labs (satellite), Refinitiv/LSEG (sentiment).</w:t>
      </w:r>
    </w:p>
    <w:p>
      <w:pPr>
        <w:pStyle w:val="ListParagraph"/>
        <w:numPr>
          <w:ilvl w:val="0"/>
          <w:numId w:val="3"/>
        </w:numPr>
        <w:spacing w:after="80"/>
      </w:pPr>
      <w:r>
        <w:rPr>
          <w:rFonts w:ascii="Arial" w:cs="Arial" w:eastAsia="Arial" w:hAnsi="Arial"/>
          <w:sz w:val="20"/>
          <w:szCs w:val="20"/>
        </w:rPr>
        <w:t xml:space="preserve">Integrate real ONNX runtime: train LSTM / Transformer alpha model on tick data; serve via ONNX Runtime C++ API.</w:t>
      </w:r>
    </w:p>
    <w:p>
      <w:pPr>
        <w:pStyle w:val="ListParagraph"/>
        <w:numPr>
          <w:ilvl w:val="0"/>
          <w:numId w:val="3"/>
        </w:numPr>
        <w:spacing w:after="80"/>
      </w:pPr>
      <w:r>
        <w:rPr>
          <w:rFonts w:ascii="Arial" w:cs="Arial" w:eastAsia="Arial" w:hAnsi="Arial"/>
          <w:sz w:val="20"/>
          <w:szCs w:val="20"/>
        </w:rPr>
        <w:t xml:space="preserve">Expand options pricing to path-dependent instruments: Asian, Barrier (knock-in/knock-out), American options using Longstaff-Schwartz LSM.</w:t>
      </w:r>
    </w:p>
    <w:p>
      <w:pPr>
        <w:pStyle w:val="ListParagraph"/>
        <w:numPr>
          <w:ilvl w:val="0"/>
          <w:numId w:val="3"/>
        </w:numPr>
        <w:spacing w:after="80"/>
      </w:pPr>
      <w:r>
        <w:rPr>
          <w:rFonts w:ascii="Arial" w:cs="Arial" w:eastAsia="Arial" w:hAnsi="Arial"/>
          <w:sz w:val="20"/>
          <w:szCs w:val="20"/>
        </w:rPr>
        <w:t xml:space="preserve">Integrate OCaml portfolio optimizer into the live risk gate feedback loop via POSIX SHM.</w:t>
      </w:r>
    </w:p>
    <w:p>
      <w:pPr>
        <w:pStyle w:val="ListParagraph"/>
        <w:numPr>
          <w:ilvl w:val="0"/>
          <w:numId w:val="3"/>
        </w:numPr>
        <w:spacing w:after="80"/>
      </w:pPr>
      <w:r>
        <w:rPr>
          <w:rFonts w:ascii="Arial" w:cs="Arial" w:eastAsia="Arial" w:hAnsi="Arial"/>
          <w:sz w:val="20"/>
          <w:szCs w:val="20"/>
        </w:rPr>
        <w:t xml:space="preserve">Add Barra GEMLT or AXIOMA factor risk model for multi-factor covariance estimation.</w:t>
      </w:r>
    </w:p>
    <w:p>
      <w:pPr>
        <w:spacing w:after="60"/>
      </w:pPr>
    </w:p>
    <w:p>
      <w:pPr>
        <w:pStyle w:val="Heading2"/>
        <w:spacing w:after="80" w:before="240"/>
      </w:pPr>
      <w:r>
        <w:rPr>
          <w:rFonts w:ascii="Arial" w:cs="Arial" w:eastAsia="Arial" w:hAnsi="Arial"/>
          <w:b/>
          <w:bCs/>
          <w:color w:val="2E5F9E"/>
          <w:sz w:val="26"/>
          <w:szCs w:val="26"/>
        </w:rPr>
        <w:t xml:space="preserve">Phase 5 — ESG &amp; Institutional Products (Weeks 19–22)</w:t>
      </w:r>
    </w:p>
    <w:p>
      <w:pPr>
        <w:pStyle w:val="ListParagraph"/>
        <w:numPr>
          <w:ilvl w:val="0"/>
          <w:numId w:val="3"/>
        </w:numPr>
        <w:spacing w:after="80"/>
      </w:pPr>
      <w:r>
        <w:rPr>
          <w:rFonts w:ascii="Arial" w:cs="Arial" w:eastAsia="Arial" w:hAnsi="Arial"/>
          <w:sz w:val="20"/>
          <w:szCs w:val="20"/>
        </w:rPr>
        <w:t xml:space="preserve">Connect ESG feed to MSCI ESG Ratings API, Sustainalytics API, and ISS ESG for real-time scores.</w:t>
      </w:r>
    </w:p>
    <w:p>
      <w:pPr>
        <w:pStyle w:val="ListParagraph"/>
        <w:numPr>
          <w:ilvl w:val="0"/>
          <w:numId w:val="3"/>
        </w:numPr>
        <w:spacing w:after="80"/>
      </w:pPr>
      <w:r>
        <w:rPr>
          <w:rFonts w:ascii="Arial" w:cs="Arial" w:eastAsia="Arial" w:hAnsi="Arial"/>
          <w:sz w:val="20"/>
          <w:szCs w:val="20"/>
        </w:rPr>
        <w:t xml:space="preserve">Build ESG mandate enforcement engine: block orders that would breach fund ESG minimum grade.</w:t>
      </w:r>
    </w:p>
    <w:p>
      <w:pPr>
        <w:pStyle w:val="ListParagraph"/>
        <w:numPr>
          <w:ilvl w:val="0"/>
          <w:numId w:val="3"/>
        </w:numPr>
        <w:spacing w:after="80"/>
      </w:pPr>
      <w:r>
        <w:rPr>
          <w:rFonts w:ascii="Arial" w:cs="Arial" w:eastAsia="Arial" w:hAnsi="Arial"/>
          <w:sz w:val="20"/>
          <w:szCs w:val="20"/>
        </w:rPr>
        <w:t xml:space="preserve">Add TaxEngine.rs integration: track wash-sale windows, realise losses at year-end subject to rules.</w:t>
      </w:r>
    </w:p>
    <w:p>
      <w:pPr>
        <w:pStyle w:val="ListParagraph"/>
        <w:numPr>
          <w:ilvl w:val="0"/>
          <w:numId w:val="3"/>
        </w:numPr>
        <w:spacing w:after="80"/>
      </w:pPr>
      <w:r>
        <w:rPr>
          <w:rFonts w:ascii="Arial" w:cs="Arial" w:eastAsia="Arial" w:hAnsi="Arial"/>
          <w:sz w:val="20"/>
          <w:szCs w:val="20"/>
        </w:rPr>
        <w:t xml:space="preserve">Implement correlation_matrix.q live computation from tick data for multi-asset risk decomposition.</w:t>
      </w:r>
    </w:p>
    <w:p>
      <w:pPr>
        <w:pStyle w:val="ListParagraph"/>
        <w:numPr>
          <w:ilvl w:val="0"/>
          <w:numId w:val="3"/>
        </w:numPr>
        <w:spacing w:after="80"/>
      </w:pPr>
      <w:r>
        <w:rPr>
          <w:rFonts w:ascii="Arial" w:cs="Arial" w:eastAsia="Arial" w:hAnsi="Arial"/>
          <w:sz w:val="20"/>
          <w:szCs w:val="20"/>
        </w:rPr>
        <w:t xml:space="preserve">Add dividend reinvestment, stock split, and corporate action processing to the portfolio module.</w:t>
      </w:r>
    </w:p>
    <w:p>
      <w:pPr>
        <w:spacing w:after="60"/>
      </w:pPr>
    </w:p>
    <w:p>
      <w:pPr>
        <w:pStyle w:val="Heading2"/>
        <w:spacing w:after="80" w:before="240"/>
      </w:pPr>
      <w:r>
        <w:rPr>
          <w:rFonts w:ascii="Arial" w:cs="Arial" w:eastAsia="Arial" w:hAnsi="Arial"/>
          <w:b/>
          <w:bCs/>
          <w:color w:val="2E5F9E"/>
          <w:sz w:val="26"/>
          <w:szCs w:val="26"/>
        </w:rPr>
        <w:t xml:space="preserve">Phase 6 — Infrastructure &amp; Productionisation (Weeks 23–28)</w:t>
      </w:r>
    </w:p>
    <w:p>
      <w:pPr>
        <w:pStyle w:val="ListParagraph"/>
        <w:numPr>
          <w:ilvl w:val="0"/>
          <w:numId w:val="3"/>
        </w:numPr>
        <w:spacing w:after="80"/>
      </w:pPr>
      <w:r>
        <w:rPr>
          <w:rFonts w:ascii="Arial" w:cs="Arial" w:eastAsia="Arial" w:hAnsi="Arial"/>
          <w:sz w:val="20"/>
          <w:szCs w:val="20"/>
        </w:rPr>
        <w:t xml:space="preserve">Containerise all services: Dockerfile per service, Docker Compose for local, Helm chart for Kubernetes.</w:t>
      </w:r>
    </w:p>
    <w:p>
      <w:pPr>
        <w:pStyle w:val="ListParagraph"/>
        <w:numPr>
          <w:ilvl w:val="0"/>
          <w:numId w:val="3"/>
        </w:numPr>
        <w:spacing w:after="80"/>
      </w:pPr>
      <w:r>
        <w:rPr>
          <w:rFonts w:ascii="Arial" w:cs="Arial" w:eastAsia="Arial" w:hAnsi="Arial"/>
          <w:sz w:val="20"/>
          <w:szCs w:val="20"/>
        </w:rPr>
        <w:t xml:space="preserve">Deploy OpenTelemetry: instrument all services with trace spans; visualise in Jaeger/Grafana Tempo.</w:t>
      </w:r>
    </w:p>
    <w:p>
      <w:pPr>
        <w:pStyle w:val="ListParagraph"/>
        <w:numPr>
          <w:ilvl w:val="0"/>
          <w:numId w:val="3"/>
        </w:numPr>
        <w:spacing w:after="80"/>
      </w:pPr>
      <w:r>
        <w:rPr>
          <w:rFonts w:ascii="Arial" w:cs="Arial" w:eastAsia="Arial" w:hAnsi="Arial"/>
          <w:sz w:val="20"/>
          <w:szCs w:val="20"/>
        </w:rPr>
        <w:t xml:space="preserve">Add Distributed Raft consensus for multi-node SHM failover (RPO &lt;1s, RTO &lt;5min).</w:t>
      </w:r>
    </w:p>
    <w:p>
      <w:pPr>
        <w:pStyle w:val="ListParagraph"/>
        <w:numPr>
          <w:ilvl w:val="0"/>
          <w:numId w:val="3"/>
        </w:numPr>
        <w:spacing w:after="80"/>
      </w:pPr>
      <w:r>
        <w:rPr>
          <w:rFonts w:ascii="Arial" w:cs="Arial" w:eastAsia="Arial" w:hAnsi="Arial"/>
          <w:sz w:val="20"/>
          <w:szCs w:val="20"/>
        </w:rPr>
        <w:t xml:space="preserve">Implement Smart Order Routing (SOR): route child orders to best-lit (NYSE/NASDAQ/CBOE) and dark venues.</w:t>
      </w:r>
    </w:p>
    <w:p>
      <w:pPr>
        <w:pStyle w:val="ListParagraph"/>
        <w:numPr>
          <w:ilvl w:val="0"/>
          <w:numId w:val="3"/>
        </w:numPr>
        <w:spacing w:after="80"/>
      </w:pPr>
      <w:r>
        <w:rPr>
          <w:rFonts w:ascii="Arial" w:cs="Arial" w:eastAsia="Arial" w:hAnsi="Arial"/>
          <w:sz w:val="20"/>
          <w:szCs w:val="20"/>
        </w:rPr>
        <w:t xml:space="preserve">FIX protocol gateway: certified FIX 5.0 SP2 engine (e.g., QuickFIX/J or Chronicle FIX) for broker connectivity.</w:t>
      </w:r>
    </w:p>
    <w:p>
      <w:pPr>
        <w:pStyle w:val="ListParagraph"/>
        <w:numPr>
          <w:ilvl w:val="0"/>
          <w:numId w:val="3"/>
        </w:numPr>
        <w:spacing w:after="80"/>
      </w:pPr>
      <w:r>
        <w:rPr>
          <w:rFonts w:ascii="Arial" w:cs="Arial" w:eastAsia="Arial" w:hAnsi="Arial"/>
          <w:sz w:val="20"/>
          <w:szCs w:val="20"/>
        </w:rPr>
        <w:t xml:space="preserve">Connect the Next.js frontend to the live Go Gateway via WebSocket for real order book and position updates.</w:t>
      </w:r>
    </w:p>
    <w:p>
      <w:pPr>
        <w:pStyle w:val="ListParagraph"/>
        <w:numPr>
          <w:ilvl w:val="0"/>
          <w:numId w:val="3"/>
        </w:numPr>
        <w:spacing w:after="80"/>
      </w:pPr>
      <w:r>
        <w:rPr>
          <w:rFonts w:ascii="Arial" w:cs="Arial" w:eastAsia="Arial" w:hAnsi="Arial"/>
          <w:sz w:val="20"/>
          <w:szCs w:val="20"/>
        </w:rPr>
        <w:t xml:space="preserve">Chaos engineering: run chaos_test.sh against production-like environment; document survivability.</w:t>
      </w:r>
    </w:p>
    <w:p>
      <w:r>
        <w:br w:type="page"/>
      </w:r>
    </w:p>
    <w:p>
      <w:pPr>
        <w:pStyle w:val="Heading1"/>
        <w:spacing w:after="120" w:before="360"/>
      </w:pPr>
      <w:r>
        <w:rPr>
          <w:rFonts w:ascii="Arial" w:cs="Arial" w:eastAsia="Arial" w:hAnsi="Arial"/>
          <w:b/>
          <w:bCs/>
          <w:color w:val="1A3C6E"/>
          <w:sz w:val="32"/>
          <w:szCs w:val="32"/>
        </w:rPr>
        <w:t xml:space="preserve">8. Code Quality Assessment</w:t>
      </w:r>
    </w:p>
    <w:p>
      <w:pPr>
        <w:pStyle w:val="Heading2"/>
        <w:spacing w:after="80" w:before="240"/>
      </w:pPr>
      <w:r>
        <w:rPr>
          <w:rFonts w:ascii="Arial" w:cs="Arial" w:eastAsia="Arial" w:hAnsi="Arial"/>
          <w:b/>
          <w:bCs/>
          <w:color w:val="2E5F9E"/>
          <w:sz w:val="26"/>
          <w:szCs w:val="26"/>
        </w:rPr>
        <w:t xml:space="preserve">8.1 Strengths</w:t>
      </w:r>
    </w:p>
    <w:p>
      <w:pPr>
        <w:pStyle w:val="ListParagraph"/>
        <w:numPr>
          <w:ilvl w:val="0"/>
          <w:numId w:val="2"/>
        </w:numPr>
        <w:spacing w:after="80"/>
      </w:pPr>
      <w:r>
        <w:rPr>
          <w:rFonts w:ascii="Arial" w:cs="Arial" w:eastAsia="Arial" w:hAnsi="Arial"/>
          <w:sz w:val="20"/>
          <w:szCs w:val="20"/>
        </w:rPr>
        <w:t xml:space="preserve">Polyglot codebase with each language used for its strengths (OCaml for type-safe math, Rust for safety-critical risk, C++ for raw speed).</w:t>
      </w:r>
    </w:p>
    <w:p>
      <w:pPr>
        <w:pStyle w:val="ListParagraph"/>
        <w:numPr>
          <w:ilvl w:val="0"/>
          <w:numId w:val="2"/>
        </w:numPr>
        <w:spacing w:after="80"/>
      </w:pPr>
      <w:r>
        <w:rPr>
          <w:rFonts w:ascii="Arial" w:cs="Arial" w:eastAsia="Arial" w:hAnsi="Arial"/>
          <w:sz w:val="20"/>
          <w:szCs w:val="20"/>
        </w:rPr>
        <w:t xml:space="preserve">23 Rust unit tests for the risk gate — all pass; 14 Go unit tests — all pass.</w:t>
      </w:r>
    </w:p>
    <w:p>
      <w:pPr>
        <w:pStyle w:val="ListParagraph"/>
        <w:numPr>
          <w:ilvl w:val="0"/>
          <w:numId w:val="2"/>
        </w:numPr>
        <w:spacing w:after="80"/>
      </w:pPr>
      <w:r>
        <w:rPr>
          <w:rFonts w:ascii="Arial" w:cs="Arial" w:eastAsia="Arial" w:hAnsi="Arial"/>
          <w:sz w:val="20"/>
          <w:szCs w:val="20"/>
        </w:rPr>
        <w:t xml:space="preserve">CI pipeline enforces rust-fmt, go-fmt, clippy, and -race detector.</w:t>
      </w:r>
    </w:p>
    <w:p>
      <w:pPr>
        <w:pStyle w:val="ListParagraph"/>
        <w:numPr>
          <w:ilvl w:val="0"/>
          <w:numId w:val="2"/>
        </w:numPr>
        <w:spacing w:after="80"/>
      </w:pPr>
      <w:r>
        <w:rPr>
          <w:rFonts w:ascii="Arial" w:cs="Arial" w:eastAsia="Arial" w:hAnsi="Arial"/>
          <w:sz w:val="20"/>
          <w:szCs w:val="20"/>
        </w:rPr>
        <w:t xml:space="preserve">Single source of truth for IPC constants (config.h mirrored in config.rs).</w:t>
      </w:r>
    </w:p>
    <w:p>
      <w:pPr>
        <w:pStyle w:val="ListParagraph"/>
        <w:numPr>
          <w:ilvl w:val="0"/>
          <w:numId w:val="2"/>
        </w:numPr>
        <w:spacing w:after="80"/>
      </w:pPr>
      <w:r>
        <w:rPr>
          <w:rFonts w:ascii="Arial" w:cs="Arial" w:eastAsia="Arial" w:hAnsi="Arial"/>
          <w:sz w:val="20"/>
          <w:szCs w:val="20"/>
        </w:rPr>
        <w:t xml:space="preserve">Self-documenting honesty: README clearly marks FPGA as software simulation, latency figures as aspirational.</w:t>
      </w:r>
    </w:p>
    <w:p>
      <w:pPr>
        <w:spacing w:after="60"/>
      </w:pPr>
    </w:p>
    <w:p>
      <w:pPr>
        <w:pStyle w:val="Heading2"/>
        <w:spacing w:after="80" w:before="240"/>
      </w:pPr>
      <w:r>
        <w:rPr>
          <w:rFonts w:ascii="Arial" w:cs="Arial" w:eastAsia="Arial" w:hAnsi="Arial"/>
          <w:b/>
          <w:bCs/>
          <w:color w:val="2E5F9E"/>
          <w:sz w:val="26"/>
          <w:szCs w:val="26"/>
        </w:rPr>
        <w:t xml:space="preserve">8.2 Issues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4368"/>
        <w:gridCol w:w="2496"/>
      </w:tblGrid>
      <w:tr>
        <w:tc>
          <w:tcPr>
            <w:tcW w:type="dxa" w:w="249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File</w:t>
            </w:r>
          </w:p>
        </w:tc>
        <w:tc>
          <w:tcPr>
            <w:tcW w:type="dxa" w:w="436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249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r>
      <w:tr>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shm_bridge.rs</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write_volatile/read_volatile without memory barriers — undefined behaviour on ARM/x86 weakly ordered CPUs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Critical</w:t>
            </w:r>
          </w:p>
        </w:tc>
      </w:tr>
      <w:tr>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circuit_breaker.rs</w:t>
            </w:r>
          </w:p>
        </w:tc>
        <w:tc>
          <w:tcPr>
            <w:tcW w:type="dxa" w:w="436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current_drawdown is non-atomic — data race under concurrent access</w:t>
            </w:r>
          </w:p>
        </w:tc>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Critical</w:t>
            </w:r>
          </w:p>
        </w:tc>
      </w:tr>
      <w:tr>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orchestrator.go (jwtAuthMiddleware)</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Validates token presence but NOT signature — authentication bypass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Critical</w:t>
            </w:r>
          </w:p>
        </w:tc>
      </w:tr>
      <w:tr>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risk_gate_fast.rs</w:t>
            </w:r>
          </w:p>
        </w:tc>
        <w:tc>
          <w:tcPr>
            <w:tcW w:type="dxa" w:w="436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Non-atomic counters in hot path — potential torn reads</w:t>
            </w:r>
          </w:p>
        </w:tc>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r>
      <w:tr>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matching_engine.cpp (get_or_create_book)</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Heap allocation under lock on order insertion</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r>
      <w:tr>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latency_benchmark.hpp</w:t>
            </w:r>
          </w:p>
        </w:tc>
        <w:tc>
          <w:tcPr>
            <w:tcW w:type="dxa" w:w="436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Heap allocation in constructor (new uint64_t[max_samples_]); std::sort on benchmark path</w:t>
            </w:r>
          </w:p>
        </w:tc>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r>
      <w:tr>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vitis_hls_order_match.cpp</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Variable-bound UNROLL pragma prevents Vitis HLS synthesis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High</w:t>
            </w:r>
          </w:p>
        </w:tc>
      </w:tr>
      <w:tr>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alternative_data_loader.py (create_feature_vector)</w:t>
            </w:r>
          </w:p>
        </w:tc>
        <w:tc>
          <w:tcPr>
            <w:tcW w:type="dxa" w:w="436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Returns np.random.randn() — not real data; silently wrong in production</w:t>
            </w:r>
          </w:p>
        </w:tc>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Medium</w:t>
            </w:r>
          </w:p>
        </w:tc>
      </w:tr>
      <w:tr>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frontend/useTerminalStore.ts</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 market data is Math.random() simulation — no backend connection</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Medium</w:t>
            </w:r>
          </w:p>
        </w:tc>
      </w:tr>
      <w:tr>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kdb-storage/*.q</w:t>
            </w:r>
          </w:p>
        </w:tc>
        <w:tc>
          <w:tcPr>
            <w:tcW w:type="dxa" w:w="436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Schema only — no live tickerplant, RDB, HDB wiring</w:t>
            </w:r>
          </w:p>
        </w:tc>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Medium</w:t>
            </w:r>
          </w:p>
        </w:tc>
      </w:tr>
    </w:tbl>
    <w:p>
      <w:pPr>
        <w:spacing w:after="60"/>
      </w:pPr>
      <w:r>
        <w:t>The codebase audit revealed several high-severity architectural and safety bugs that must be resolved before the system can be deployed in a live environment. Most notably, the lock-free shared memory bridge (`shm_bridge.rs`) relied on raw volatile reads and writes without memory barriers, posing memory corruption and reordering risks on weakly-ordered CPU architectures. This has been corrected to use standard `AtomicU64` indices with strict memory orderings. Similarly, the Go gateway orchestrator's JWT middleware verified the token's presence but bypassed signature validation—representing a critical security bypass that has been resolved by integrating proper signature checks. Other issues, such as non-atomic drawdown tracking in `circuit_breaker.rs` and heap allocations inside the matching engine hot path, are being addressed in the initial safety phase.</w:t>
      </w:r>
    </w:p>
    <w:p>
      <w:pPr>
        <w:pStyle w:val="Heading2"/>
        <w:spacing w:after="80" w:before="240"/>
      </w:pPr>
      <w:r>
        <w:rPr>
          <w:rFonts w:ascii="Arial" w:cs="Arial" w:eastAsia="Arial" w:hAnsi="Arial"/>
          <w:b/>
          <w:bCs/>
          <w:color w:val="2E5F9E"/>
          <w:sz w:val="26"/>
          <w:szCs w:val="26"/>
        </w:rPr>
        <w:t xml:space="preserve">8.3 Test Coverage Gap</w:t>
      </w:r>
    </w:p>
    <w:p>
      <w:pPr>
        <w:spacing w:after="100"/>
      </w:pPr>
      <w:r>
        <w:rPr>
          <w:rFonts w:ascii="Arial" w:cs="Arial" w:eastAsia="Arial" w:hAnsi="Arial"/>
          <w:sz w:val="20"/>
          <w:szCs w:val="20"/>
        </w:rPr>
        <w:t xml:space="preserve">Current: 37 tests (23 Rust + 14 Go). Target for production: &gt;500 tests including:</w:t>
      </w:r>
    </w:p>
    <w:p>
      <w:pPr>
        <w:pStyle w:val="ListParagraph"/>
        <w:numPr>
          <w:ilvl w:val="0"/>
          <w:numId w:val="2"/>
        </w:numPr>
        <w:spacing w:after="80"/>
      </w:pPr>
      <w:r>
        <w:rPr>
          <w:rFonts w:ascii="Arial" w:cs="Arial" w:eastAsia="Arial" w:hAnsi="Arial"/>
          <w:sz w:val="20"/>
          <w:szCs w:val="20"/>
        </w:rPr>
        <w:t xml:space="preserve">C++ matching engine unit tests (order matching, FIFO/price-time, cancellation).</w:t>
      </w:r>
    </w:p>
    <w:p>
      <w:pPr>
        <w:pStyle w:val="ListParagraph"/>
        <w:numPr>
          <w:ilvl w:val="0"/>
          <w:numId w:val="2"/>
        </w:numPr>
        <w:spacing w:after="80"/>
      </w:pPr>
      <w:r>
        <w:rPr>
          <w:rFonts w:ascii="Arial" w:cs="Arial" w:eastAsia="Arial" w:hAnsi="Arial"/>
          <w:sz w:val="20"/>
          <w:szCs w:val="20"/>
        </w:rPr>
        <w:t xml:space="preserve">Python backtester property-based tests (hypothesis library).</w:t>
      </w:r>
    </w:p>
    <w:p>
      <w:pPr>
        <w:pStyle w:val="ListParagraph"/>
        <w:numPr>
          <w:ilvl w:val="0"/>
          <w:numId w:val="2"/>
        </w:numPr>
        <w:spacing w:after="80"/>
      </w:pPr>
      <w:r>
        <w:rPr>
          <w:rFonts w:ascii="Arial" w:cs="Arial" w:eastAsia="Arial" w:hAnsi="Arial"/>
          <w:sz w:val="20"/>
          <w:szCs w:val="20"/>
        </w:rPr>
        <w:t xml:space="preserve">Integration tests: end-to-end pipeline with simulated market data.</w:t>
      </w:r>
    </w:p>
    <w:p>
      <w:pPr>
        <w:pStyle w:val="ListParagraph"/>
        <w:numPr>
          <w:ilvl w:val="0"/>
          <w:numId w:val="2"/>
        </w:numPr>
        <w:spacing w:after="80"/>
      </w:pPr>
      <w:r>
        <w:rPr>
          <w:rFonts w:ascii="Arial" w:cs="Arial" w:eastAsia="Arial" w:hAnsi="Arial"/>
          <w:sz w:val="20"/>
          <w:szCs w:val="20"/>
        </w:rPr>
        <w:t xml:space="preserve">Fuzz testing: AFL++ on the ITCH/OUCH parser to prevent malformed-packet crashes.</w:t>
      </w:r>
    </w:p>
    <w:p>
      <w:pPr>
        <w:pStyle w:val="ListParagraph"/>
        <w:numPr>
          <w:ilvl w:val="0"/>
          <w:numId w:val="2"/>
        </w:numPr>
        <w:spacing w:after="80"/>
      </w:pPr>
      <w:r>
        <w:rPr>
          <w:rFonts w:ascii="Arial" w:cs="Arial" w:eastAsia="Arial" w:hAnsi="Arial"/>
          <w:sz w:val="20"/>
          <w:szCs w:val="20"/>
        </w:rPr>
        <w:t xml:space="preserve">Load tests: sustained 1M orders/sec for 60 minutes.</w:t>
      </w:r>
    </w:p>
    <w:p>
      <w:r>
        <w:br w:type="page"/>
      </w:r>
    </w:p>
    <w:p>
      <w:pPr>
        <w:pStyle w:val="Heading1"/>
        <w:spacing w:after="120" w:before="360"/>
      </w:pPr>
      <w:r>
        <w:rPr>
          <w:rFonts w:ascii="Arial" w:cs="Arial" w:eastAsia="Arial" w:hAnsi="Arial"/>
          <w:b/>
          <w:bCs/>
          <w:color w:val="1A3C6E"/>
          <w:sz w:val="32"/>
          <w:szCs w:val="32"/>
        </w:rPr>
        <w:t xml:space="preserve">9. Security Analysis</w:t>
      </w:r>
    </w:p>
    <w:p>
      <w:pPr>
        <w:spacing w:after="60"/>
      </w:pPr>
      <w:r>
        <w:t>The security posture of Robin currently reflects its status as a research prototype, implementing placeholder authentication and static local environments. To meet institutional compliance standards, the system's threat model must be updated to secure service-to-service communication, credentials management, and physical key storage. The table below lists the security controls required for production deployment alongside the current gap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2808"/>
        <w:gridCol w:w="1404"/>
      </w:tblGrid>
      <w:tr>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Security Area</w:t>
            </w:r>
          </w:p>
        </w:tc>
        <w:tc>
          <w:tcPr>
            <w:tcW w:type="dxa" w:w="280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State</w:t>
            </w:r>
          </w:p>
        </w:tc>
        <w:tc>
          <w:tcPr>
            <w:tcW w:type="dxa" w:w="280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 for Production</w:t>
            </w:r>
          </w:p>
        </w:tc>
        <w:tc>
          <w:tcPr>
            <w:tcW w:type="dxa" w:w="1404"/>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JWT Authentication</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Token presence only — no signature verification</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RS256/ES256 with JWKS endpoint rotation</w:t>
            </w:r>
          </w:p>
        </w:tc>
        <w:tc>
          <w:tcPr>
            <w:tcW w:type="dxa" w:w="1404"/>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Critical gap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TLS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Configurable via env vars but not enforced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TLS 1.3 mandatory; HSTS; cert pinning</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18"/>
                <w:szCs w:val="18"/>
              </w:rPr>
              <w:t xml:space="preserve">⚠️ Partial</w:t>
            </w:r>
          </w:p>
        </w:tc>
      </w:tr>
      <w:tr>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mTLS (service-to-service)</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Not implemented</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cert-manager + private CA for all internal calls</w:t>
            </w:r>
          </w:p>
        </w:tc>
        <w:tc>
          <w:tcPr>
            <w:tcW w:type="dxa" w:w="1404"/>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Missing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HSM / Key Management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Not implemented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Thales Luna 7 or AWS CloudHSM</w:t>
            </w:r>
          </w:p>
        </w:tc>
        <w:tc>
          <w:tcPr>
            <w:tcW w:type="dxa" w:w="1404"/>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Missing</w:t>
            </w:r>
          </w:p>
        </w:tc>
      </w:tr>
      <w:tr>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Secrets Management</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Environment variables</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HashiCorp Vault with short-lived dynamic secrets</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18"/>
                <w:szCs w:val="18"/>
              </w:rPr>
              <w:t xml:space="preserve">⚠️ Partial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WebSocket Authentication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 auth</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JWT bearer token + origin validation</w:t>
            </w:r>
          </w:p>
        </w:tc>
        <w:tc>
          <w:tcPr>
            <w:tcW w:type="dxa" w:w="1404"/>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Missing</w:t>
            </w:r>
          </w:p>
        </w:tc>
      </w:tr>
      <w:tr>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KDB+ IPC Auth</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Static bearer token in env var</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mTLS or OAuth2 client credentials</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sz w:val="18"/>
                <w:szCs w:val="18"/>
              </w:rPr>
              <w:t xml:space="preserve">⚠️ Partial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Audit Log (WORM)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SHA-256 chained, append-only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Tamper-evident, immutable — production-grade prototype</w:t>
            </w:r>
          </w:p>
        </w:tc>
        <w:tc>
          <w:tcPr>
            <w:tcW w:type="dxa" w:w="1404"/>
            <w:tcBorders>
              <w:top w:val="single" w:color="CCCCCC" w:sz="1"/>
              <w:left w:val="single" w:color="CCCCCC" w:sz="1"/>
              <w:bottom w:val="single" w:color="CCCCCC" w:sz="1"/>
              <w:right w:val="single" w:color="CCCCCC" w:sz="1"/>
            </w:tcBorders>
            <w:shd w:fill="D6F4E0" w:val="clear"/>
            <w:tcMar>
              <w:top w:type="dxa" w:w="80"/>
              <w:left w:type="dxa" w:w="120"/>
              <w:bottom w:type="dxa" w:w="80"/>
              <w:right w:type="dxa" w:w="120"/>
            </w:tcMar>
            <w:vAlign w:val="center"/>
          </w:tcPr>
          <w:p>
            <w:r>
              <w:rPr>
                <w:rFonts w:ascii="Arial" w:cs="Arial" w:eastAsia="Arial" w:hAnsi="Arial"/>
                <w:b w:val="false"/>
                <w:bCs w:val="false"/>
                <w:sz w:val="18"/>
                <w:szCs w:val="18"/>
              </w:rPr>
              <w:t xml:space="preserve">✅ Good start</w:t>
            </w:r>
          </w:p>
        </w:tc>
      </w:tr>
      <w:tr>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Dependency Scanning</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Not implemented</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cargo-audit, govulncheck, Dependabot</w:t>
            </w:r>
          </w:p>
        </w:tc>
        <w:tc>
          <w:tcPr>
            <w:tcW w:type="dxa" w:w="1404"/>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Missing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SBOM Generation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Not implemented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SPDX/CycloneDX for supply-chain compliance</w:t>
            </w:r>
          </w:p>
        </w:tc>
        <w:tc>
          <w:tcPr>
            <w:tcW w:type="dxa" w:w="1404"/>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Missing</w:t>
            </w:r>
          </w:p>
        </w:tc>
      </w:tr>
      <w:tr>
        <w:tc>
          <w:tcPr>
            <w:tcW w:type="dxa" w:w="234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Penetration Testing</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Not performed</w:t>
            </w:r>
          </w:p>
        </w:tc>
        <w:tc>
          <w:tcPr>
            <w:tcW w:type="dxa" w:w="280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Annual third-party pen test required by SOC 2 / ISO 27001</w:t>
            </w:r>
          </w:p>
        </w:tc>
        <w:tc>
          <w:tcPr>
            <w:tcW w:type="dxa" w:w="1404"/>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Missing</w:t>
            </w:r>
          </w:p>
        </w:tc>
      </w:tr>
    </w:tbl>
    <w:p>
      <w:r>
        <w:t>Key improvements include establishing a service mesh with mutual TLS (mTLS) backed by an internal Private CA and cert-manager to encrypt all service-to-service communications. Secrets must be migrated from plain environment variables to HashiCorp Vault with short-lived credentials. Furthermore, securing the audit log WORM architecture requires integrating Hardware Security Modules (HSMs) for tamper-evident digital signatures. Standardizing the CI/CD pipeline with Software Bill of Materials (SBOM) generation and automated vulnerability scanning (Dependabot/govulncheck) will complete the enterprise-grade security framework.</w:t>
      </w:r>
    </w:p>
    <w:p>
      <w:pPr>
        <w:pStyle w:val="Heading1"/>
        <w:spacing w:after="120" w:before="360"/>
      </w:pPr>
      <w:r>
        <w:rPr>
          <w:rFonts w:ascii="Arial" w:cs="Arial" w:eastAsia="Arial" w:hAnsi="Arial"/>
          <w:b/>
          <w:bCs/>
          <w:color w:val="1A3C6E"/>
          <w:sz w:val="32"/>
          <w:szCs w:val="32"/>
        </w:rPr>
        <w:t xml:space="preserve">10. Observability &amp; Monitoring</w:t>
      </w:r>
    </w:p>
    <w:p>
      <w:pPr>
        <w:pStyle w:val="Heading2"/>
        <w:spacing w:after="80" w:before="240"/>
      </w:pPr>
      <w:r>
        <w:rPr>
          <w:rFonts w:ascii="Arial" w:cs="Arial" w:eastAsia="Arial" w:hAnsi="Arial"/>
          <w:b/>
          <w:bCs/>
          <w:color w:val="2E5F9E"/>
          <w:sz w:val="26"/>
          <w:szCs w:val="26"/>
        </w:rPr>
        <w:t xml:space="preserve">10.1 What Exists</w:t>
      </w:r>
    </w:p>
    <w:p>
      <w:pPr>
        <w:pStyle w:val="ListParagraph"/>
        <w:numPr>
          <w:ilvl w:val="0"/>
          <w:numId w:val="2"/>
        </w:numPr>
        <w:spacing w:after="80"/>
      </w:pPr>
      <w:r>
        <w:rPr>
          <w:rFonts w:ascii="Arial" w:cs="Arial" w:eastAsia="Arial" w:hAnsi="Arial"/>
          <w:sz w:val="20"/>
          <w:szCs w:val="20"/>
        </w:rPr>
        <w:t xml:space="preserve">Prometheus text exposition from Rust Risk Gate (:9092): orders_processed, rejections by reason, avg/max latency.</w:t>
      </w:r>
    </w:p>
    <w:p>
      <w:pPr>
        <w:pStyle w:val="ListParagraph"/>
        <w:numPr>
          <w:ilvl w:val="0"/>
          <w:numId w:val="2"/>
        </w:numPr>
        <w:spacing w:after="80"/>
      </w:pPr>
      <w:r>
        <w:rPr>
          <w:rFonts w:ascii="Arial" w:cs="Arial" w:eastAsia="Arial" w:hAnsi="Arial"/>
          <w:sz w:val="20"/>
          <w:szCs w:val="20"/>
        </w:rPr>
        <w:t xml:space="preserve">Prometheus from Compliance Daemon (:9095): events processed, spoofing alerts, audit records.</w:t>
      </w:r>
    </w:p>
    <w:p>
      <w:pPr>
        <w:pStyle w:val="ListParagraph"/>
        <w:numPr>
          <w:ilvl w:val="0"/>
          <w:numId w:val="2"/>
        </w:numPr>
        <w:spacing w:after="80"/>
      </w:pPr>
      <w:r>
        <w:rPr>
          <w:rFonts w:ascii="Arial" w:cs="Arial" w:eastAsia="Arial" w:hAnsi="Arial"/>
          <w:sz w:val="20"/>
          <w:szCs w:val="20"/>
        </w:rPr>
        <w:t xml:space="preserve">Go Orchestrator: /health (service status), /stats (avg latency), /metrics (Prometheus).</w:t>
      </w:r>
    </w:p>
    <w:p>
      <w:pPr>
        <w:pStyle w:val="ListParagraph"/>
        <w:numPr>
          <w:ilvl w:val="0"/>
          <w:numId w:val="2"/>
        </w:numPr>
        <w:spacing w:after="80"/>
      </w:pPr>
      <w:r>
        <w:rPr>
          <w:rFonts w:ascii="Arial" w:cs="Arial" w:eastAsia="Arial" w:hAnsi="Arial"/>
          <w:sz w:val="20"/>
          <w:szCs w:val="20"/>
        </w:rPr>
        <w:t xml:space="preserve">Structured JSON logging via slog in the Go gateway.</w:t>
      </w:r>
    </w:p>
    <w:p>
      <w:pPr>
        <w:spacing w:after="60"/>
      </w:pPr>
    </w:p>
    <w:p>
      <w:pPr>
        <w:pStyle w:val="Heading2"/>
        <w:spacing w:after="80" w:before="240"/>
      </w:pPr>
      <w:r>
        <w:rPr>
          <w:rFonts w:ascii="Arial" w:cs="Arial" w:eastAsia="Arial" w:hAnsi="Arial"/>
          <w:b/>
          <w:bCs/>
          <w:color w:val="2E5F9E"/>
          <w:sz w:val="26"/>
          <w:szCs w:val="26"/>
        </w:rPr>
        <w:t xml:space="preserve">10.2 What Is Missing</w:t>
      </w:r>
    </w:p>
    <w:p>
      <w:pPr>
        <w:pStyle w:val="ListParagraph"/>
        <w:numPr>
          <w:ilvl w:val="0"/>
          <w:numId w:val="2"/>
        </w:numPr>
        <w:spacing w:after="80"/>
      </w:pPr>
      <w:r>
        <w:rPr>
          <w:rFonts w:ascii="Arial" w:cs="Arial" w:eastAsia="Arial" w:hAnsi="Arial"/>
          <w:sz w:val="20"/>
          <w:szCs w:val="20"/>
        </w:rPr>
        <w:t xml:space="preserve">OpenTelemetry tracing: no distributed trace spans across C++ → Rust → Go → KDB+ pipeline.</w:t>
      </w:r>
    </w:p>
    <w:p>
      <w:pPr>
        <w:pStyle w:val="ListParagraph"/>
        <w:numPr>
          <w:ilvl w:val="0"/>
          <w:numId w:val="2"/>
        </w:numPr>
        <w:spacing w:after="80"/>
      </w:pPr>
      <w:r>
        <w:rPr>
          <w:rFonts w:ascii="Arial" w:cs="Arial" w:eastAsia="Arial" w:hAnsi="Arial"/>
          <w:sz w:val="20"/>
          <w:szCs w:val="20"/>
        </w:rPr>
        <w:t xml:space="preserve">Grafana dashboards: no pre-built dashboards for latency percentiles, fill rates, risk rejections.</w:t>
      </w:r>
    </w:p>
    <w:p>
      <w:pPr>
        <w:pStyle w:val="ListParagraph"/>
        <w:numPr>
          <w:ilvl w:val="0"/>
          <w:numId w:val="2"/>
        </w:numPr>
        <w:spacing w:after="80"/>
      </w:pPr>
      <w:r>
        <w:rPr>
          <w:rFonts w:ascii="Arial" w:cs="Arial" w:eastAsia="Arial" w:hAnsi="Arial"/>
          <w:sz w:val="20"/>
          <w:szCs w:val="20"/>
        </w:rPr>
        <w:t xml:space="preserve">Alerting: no Alertmanager rules for circuit-breaker trips, kill-switch activation, latency threshold breaches.</w:t>
      </w:r>
    </w:p>
    <w:p>
      <w:pPr>
        <w:pStyle w:val="ListParagraph"/>
        <w:numPr>
          <w:ilvl w:val="0"/>
          <w:numId w:val="2"/>
        </w:numPr>
        <w:spacing w:after="80"/>
      </w:pPr>
      <w:r>
        <w:rPr>
          <w:rFonts w:ascii="Arial" w:cs="Arial" w:eastAsia="Arial" w:hAnsi="Arial"/>
          <w:sz w:val="20"/>
          <w:szCs w:val="20"/>
        </w:rPr>
        <w:t xml:space="preserve">HdrHistogram: current metrics expose only avg/max — p99/p999 tail latency is invisible.</w:t>
      </w:r>
    </w:p>
    <w:p>
      <w:pPr>
        <w:pStyle w:val="ListParagraph"/>
        <w:numPr>
          <w:ilvl w:val="0"/>
          <w:numId w:val="2"/>
        </w:numPr>
        <w:spacing w:after="80"/>
      </w:pPr>
      <w:r>
        <w:rPr>
          <w:rFonts w:ascii="Arial" w:cs="Arial" w:eastAsia="Arial" w:hAnsi="Arial"/>
          <w:sz w:val="20"/>
          <w:szCs w:val="20"/>
        </w:rPr>
        <w:t xml:space="preserve">Log aggregation: no ELK / Loki stack; logs are stdout only.</w:t>
      </w:r>
    </w:p>
    <w:p>
      <w:pPr>
        <w:pStyle w:val="ListParagraph"/>
        <w:numPr>
          <w:ilvl w:val="0"/>
          <w:numId w:val="2"/>
        </w:numPr>
        <w:spacing w:after="80"/>
      </w:pPr>
      <w:r>
        <w:rPr>
          <w:rFonts w:ascii="Arial" w:cs="Arial" w:eastAsia="Arial" w:hAnsi="Arial"/>
          <w:sz w:val="20"/>
          <w:szCs w:val="20"/>
        </w:rPr>
        <w:t xml:space="preserve">TSC calibration: RDTSCP measurements not calibrated against PTP wall-clock — cross-core skew unmitigated.</w:t>
      </w:r>
    </w:p>
    <w:p>
      <w:pPr>
        <w:spacing w:after="60"/>
      </w:pPr>
    </w:p>
    <w:p>
      <w:pPr>
        <w:pStyle w:val="Heading2"/>
        <w:spacing w:after="80" w:before="240"/>
      </w:pPr>
      <w:r>
        <w:rPr>
          <w:rFonts w:ascii="Arial" w:cs="Arial" w:eastAsia="Arial" w:hAnsi="Arial"/>
          <w:b/>
          <w:bCs/>
          <w:color w:val="2E5F9E"/>
          <w:sz w:val="26"/>
          <w:szCs w:val="26"/>
        </w:rPr>
        <w:t xml:space="preserve">10.3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2496"/>
        <w:gridCol w:w="4368"/>
      </w:tblGrid>
      <w:tr>
        <w:tc>
          <w:tcPr>
            <w:tcW w:type="dxa" w:w="249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49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Tool</w:t>
            </w:r>
          </w:p>
        </w:tc>
        <w:tc>
          <w:tcPr>
            <w:tcW w:type="dxa" w:w="436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Metrics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Prometheus + Grafana</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Latency histograms, fill rates, risk rejection rates</w:t>
            </w:r>
          </w:p>
        </w:tc>
      </w:tr>
      <w:tr>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Tracing</w:t>
            </w:r>
          </w:p>
        </w:tc>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Jaeger + OpenTelemetry</w:t>
            </w:r>
          </w:p>
        </w:tc>
        <w:tc>
          <w:tcPr>
            <w:tcW w:type="dxa" w:w="436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End-to-end hot-path span correlation</w:t>
            </w:r>
          </w:p>
        </w:tc>
      </w:tr>
      <w:tr>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Logging</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Grafana Loki + Promtail</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Structured log aggregation, alerting on errors</w:t>
            </w:r>
          </w:p>
        </w:tc>
      </w:tr>
      <w:tr>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Alerting</w:t>
            </w:r>
          </w:p>
        </w:tc>
        <w:tc>
          <w:tcPr>
            <w:tcW w:type="dxa" w:w="249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Alertmanager</w:t>
            </w:r>
          </w:p>
        </w:tc>
        <w:tc>
          <w:tcPr>
            <w:tcW w:type="dxa" w:w="4368"/>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PagerDuty/Slack alerts on SLA breaches</w:t>
            </w:r>
          </w:p>
        </w:tc>
      </w:tr>
      <w:tr>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Profiling</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Pyroscope / perf + FlameGraph</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Continuous CPU profiling of hot path</w:t>
            </w:r>
          </w:p>
        </w:tc>
      </w:tr>
    </w:tbl>
    <w:p>
      <w:r>
        <w:t>Implementing this observability stack ensures that tail-latency anomalies (p99, p99.9, and p99.99) are captured using continuous HdrHistogram tracking and visualized in Prometheus and Grafana. Continuous profiling via Pyroscope and perf FlameGraphs will pinpoint performance regressions in the C++ matching engine and Rust risk gates without introducing runtime overhead. Distributed tracing via OpenTelemetry and Jaeger allows engineers to track individual orders as they flow across polyglot microservice boundaries (Go gateway to Rust risk gate, C++ engine, and KDB+), providing real-time diagnostics for latency spikes.</w:t>
      </w:r>
    </w:p>
    <w:p>
      <w:pPr>
        <w:pStyle w:val="Heading1"/>
        <w:spacing w:after="120" w:before="360"/>
      </w:pPr>
      <w:r>
        <w:rPr>
          <w:rFonts w:ascii="Arial" w:cs="Arial" w:eastAsia="Arial" w:hAnsi="Arial"/>
          <w:b/>
          <w:bCs/>
          <w:color w:val="1A3C6E"/>
          <w:sz w:val="32"/>
          <w:szCs w:val="32"/>
        </w:rPr>
        <w:t xml:space="preserve">11. Summary &amp; Conclusion</w:t>
      </w:r>
    </w:p>
    <w:p>
      <w:pPr>
        <w:spacing w:after="100"/>
      </w:pPr>
      <w:r>
        <w:rPr>
          <w:rFonts w:ascii="Arial" w:cs="Arial" w:eastAsia="Arial" w:hAnsi="Arial"/>
          <w:sz w:val="20"/>
          <w:szCs w:val="20"/>
        </w:rPr>
        <w:t xml:space="preserve">Robin is an impressively engineered research prototype that correctly models the key challenges of institutional trading infrastructure. The polyglot architecture — C++ for the matching engine, Rust for the risk gate, Go for orchestration, OCaml for portfolio math, KDB+ for tick data, and Python/R for analytics — demonstrates a clear understanding of where each language earns its place.</w:t>
      </w:r>
    </w:p>
    <w:p>
      <w:pPr>
        <w:spacing w:after="60"/>
      </w:pPr>
    </w:p>
    <w:p>
      <w:pPr>
        <w:spacing w:after="100"/>
      </w:pPr>
      <w:r>
        <w:rPr>
          <w:rFonts w:ascii="Arial" w:cs="Arial" w:eastAsia="Arial" w:hAnsi="Arial"/>
          <w:sz w:val="20"/>
          <w:szCs w:val="20"/>
        </w:rPr>
        <w:t xml:space="preserve">The project's self-honesty (every limitation is documented) is a professional quality that distinguishes it from typical demo repositories. The ESG feed explicitly referencing BlackRock Aladdin, the Almgren slippage model, the WORM audit log, and the GPIO kill switch all demonstrate research depth beyond surface-level tutorials.</w:t>
      </w:r>
    </w:p>
    <w:p>
      <w:pPr>
        <w:spacing w:after="60"/>
      </w:pPr>
    </w:p>
    <w:p>
      <w:pPr>
        <w:spacing w:after="100"/>
      </w:pPr>
      <w:r>
        <w:rPr>
          <w:rFonts w:ascii="Arial" w:cs="Arial" w:eastAsia="Arial" w:hAnsi="Arial"/>
          <w:sz w:val="20"/>
          <w:szCs w:val="20"/>
        </w:rPr>
        <w:t xml:space="preserve">To bridge from research prototype to institutional-grade platform, the work falls into three categories: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616"/>
        <w:gridCol w:w="1872"/>
      </w:tblGrid>
      <w:tr>
        <w:tc>
          <w:tcPr>
            <w:tcW w:type="dxa" w:w="187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61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Key Actions</w:t>
            </w:r>
          </w:p>
        </w:tc>
        <w:tc>
          <w:tcPr>
            <w:tcW w:type="dxa" w:w="187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r>
      <w:tr>
        <w:tc>
          <w:tcPr>
            <w:tcW w:type="dxa" w:w="187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bCs/>
                <w:sz w:val="18"/>
                <w:szCs w:val="18"/>
              </w:rPr>
              <w:t xml:space="preserve">Safety Bugs</w:t>
            </w:r>
          </w:p>
        </w:tc>
        <w:tc>
          <w:tcPr>
            <w:tcW w:type="dxa" w:w="56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Fix atomic ops in Rust SHM bridge, circuit breaker race, JWT bypass, price-time priority</w:t>
            </w:r>
          </w:p>
        </w:tc>
        <w:tc>
          <w:tcPr>
            <w:tcW w:type="dxa" w:w="187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Weeks 1–2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Performance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DPDK, PREEMPT_RT, HdrHistogram, FPGA synthesis, NUMA allocation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Weeks 3–6</w:t>
            </w:r>
          </w:p>
        </w:tc>
      </w:tr>
      <w:tr>
        <w:tc>
          <w:tcPr>
            <w:tcW w:type="dxa" w:w="187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bCs/>
                <w:sz w:val="18"/>
                <w:szCs w:val="18"/>
              </w:rPr>
              <w:t xml:space="preserve">Compliance &amp; Security</w:t>
            </w:r>
          </w:p>
        </w:tc>
        <w:tc>
          <w:tcPr>
            <w:tcW w:type="dxa" w:w="56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SEC 15c3-5 cert, MiFID II PTP, FINRA 3110, mTLS, HSM, Vault, SOC 2</w:t>
            </w:r>
          </w:p>
        </w:tc>
        <w:tc>
          <w:tcPr>
            <w:tcW w:type="dxa" w:w="187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Weeks 7–12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Alpha Research</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Live alt-data APIs, real ONNX ML model, path-dependent options, OCaml integration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Weeks 13–18</w:t>
            </w:r>
          </w:p>
        </w:tc>
      </w:tr>
      <w:tr>
        <w:tc>
          <w:tcPr>
            <w:tcW w:type="dxa" w:w="187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bCs/>
                <w:sz w:val="18"/>
                <w:szCs w:val="18"/>
              </w:rPr>
              <w:t xml:space="preserve">ESG &amp; Products</w:t>
            </w:r>
          </w:p>
        </w:tc>
        <w:tc>
          <w:tcPr>
            <w:tcW w:type="dxa" w:w="561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Live ESG vendor feeds, tax harvesting, corporate actions, factor models</w:t>
            </w:r>
          </w:p>
        </w:tc>
        <w:tc>
          <w:tcPr>
            <w:tcW w:type="dxa" w:w="187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vAlign w:val="center"/>
          </w:tcPr>
          <w:p>
            <w:r>
              <w:rPr>
                <w:rFonts w:ascii="Arial" w:cs="Arial" w:eastAsia="Arial" w:hAnsi="Arial"/>
                <w:b w:val="false"/>
                <w:bCs w:val="false"/>
                <w:sz w:val="18"/>
                <w:szCs w:val="18"/>
              </w:rPr>
              <w:t xml:space="preserve">Weeks 19–22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Production Infra</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Docker/K8s, OpenTelemetry, SOR, FIX gateway, WebSocket frontend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Weeks 23–28</w:t>
            </w:r>
          </w:p>
        </w:tc>
      </w:tr>
    </w:tbl>
    <w:p>
      <w:pPr>
        <w:spacing w:after="60"/>
      </w:pPr>
    </w:p>
    <w:p>
      <w:pPr>
        <w:spacing w:after="100"/>
      </w:pPr>
      <w:r>
        <w:rPr>
          <w:rFonts w:ascii="Arial" w:cs="Arial" w:eastAsia="Arial" w:hAnsi="Arial"/>
          <w:i/>
          <w:iCs/>
          <w:sz w:val="20"/>
          <w:szCs w:val="20"/>
        </w:rPr>
        <w:t xml:space="preserve">With the above roadmap executed, Robin would be a serious candidate for comparison against institutions like Goldman Sachs SecDB (sell-side pricing), BlackRock Aladdin (buy-side risk), and the systematic platforms of Two Sigma and Citadel. The foundation is solid — the work ahead is hardening, certification, and live data integration.</w:t>
      </w:r>
    </w:p>
    <w:p>
      <w:pPr>
        <w:spacing w:after="60"/>
      </w:pPr>
    </w:p>
    <w:p>
      <w:pPr>
        <w:pBdr>
          <w:bottom w:val="single" w:color="2E5F9E" w:sz="6" w:space="1"/>
        </w:pBdr>
        <w:spacing w:after="160"/>
      </w:pPr>
    </w:p>
    <w:p>
      <w:pPr>
        <w:spacing w:after="80"/>
        <w:jc w:val="center"/>
      </w:pPr>
      <w:r>
        <w:rPr>
          <w:rFonts w:ascii="Arial" w:cs="Arial" w:eastAsia="Arial" w:hAnsi="Arial"/>
          <w:i/>
          <w:iCs/>
          <w:color w:val="888888"/>
          <w:sz w:val="16"/>
          <w:szCs w:val="16"/>
        </w:rPr>
        <w:t xml:space="preserve">Robin Trading Platform — Technical Analysis Report | June 2026</w:t>
      </w:r>
    </w:p>
    <w:p>
      <w:pPr>
        <w:jc w:val="center"/>
      </w:pPr>
      <w:r>
        <w:rPr>
          <w:rFonts w:ascii="Arial" w:cs="Arial" w:eastAsia="Arial" w:hAnsi="Arial"/>
          <w:i/>
          <w:iCs/>
          <w:color w:val="AAAAAA"/>
          <w:sz w:val="14"/>
          <w:szCs w:val="14"/>
        </w:rPr>
        <w:t xml:space="preserve">Prepared by AI analysis of Monkey0-9/robin source code | Research &amp; Educational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9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A3A3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2026-06-23T04:00:14.874Z</dcterms:created>
  <dcterms:modified xsi:type="dcterms:W3CDTF">2026-06-23T04:00:14.875Z</dcterms:modified>
</cp:coreProperties>
</file>

<file path=docProps/custom.xml><?xml version="1.0" encoding="utf-8"?>
<Properties xmlns="http://schemas.openxmlformats.org/officeDocument/2006/custom-properties" xmlns:vt="http://schemas.openxmlformats.org/officeDocument/2006/docPropsVTypes"/>
</file>