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Japan Insurance Sector Update - Fixed Income View</w:t>
      </w:r>
    </w:p>
    <w:p/>
    <w:p>
      <w:pPr>
        <w:spacing w:after="120"/>
      </w:pPr>
      <w:r>
        <w:t>Japanese insurance credits remain broadly stable, but issuer selection matters more than headline ratings. For life insurers, the key differentiators are ESR trajectory, JGB rebalancing risk, equity buffer, and potential hybrid supply. For P&amp;C insurers, the key differentiators are OpCo vs HoldCo structure, domestic franchise strength, overseas execution, reserve risk, and catastrophe exposure.</w:t>
      </w:r>
    </w:p>
    <w:p>
      <w:pPr>
        <w:spacing w:after="120"/>
      </w:pPr>
      <w:r>
        <w:t>Our preference within Japanese life insurers is: Nippon Life &gt; Dai-ichi Life / Meiji Yasuda &gt; Sumitomo Life &gt; Fukoku &gt; Asahi.</w:t>
      </w:r>
    </w:p>
    <w:p>
      <w:pPr>
        <w:spacing w:after="120"/>
      </w:pPr>
      <w:r>
        <w:t>For P&amp;C, we prefer MSINS OpCo paper over SMPHD HoldCo paper, unless the HoldCo premium becomes excessive.</w:t>
      </w:r>
    </w:p>
    <w:p>
      <w:pPr>
        <w:pStyle w:val="Heading1"/>
      </w:pPr>
      <w:r>
        <w:t>Executive Summary</w:t>
      </w:r>
    </w:p>
    <w:p>
      <w:pPr>
        <w:spacing w:after="100"/>
      </w:pPr>
      <w:r>
        <w:t>Nippon Life remains the benchmark credit among Japanese life insurers. Its ESR declined to around 195% after the Resolution Life consolidation, but this is a manageable consequence of strategic M&amp;A rather than a deterioration in the underlying credit profile. The key watch item is capital rebuilding and potential hybrid supply.</w:t>
      </w:r>
    </w:p>
    <w:p>
      <w:pPr>
        <w:spacing w:after="100"/>
      </w:pPr>
      <w:r>
        <w:t>Meiji Yasuda is one of the better-positioned credits to manage JGB volatility, supported by large unrealized equity gains that can absorb domestic bond valuation pressure. The flip side is equity-market sensitivity: if Japanese equities correct sharply, the ESR buffer could weaken quickly.</w:t>
      </w:r>
    </w:p>
    <w:p>
      <w:pPr>
        <w:spacing w:after="100"/>
      </w:pPr>
      <w:r>
        <w:t>Dai-ichi Life Insurance is a strong domestic OpCo, but the credit story should not be driven by group-level overseas diversification. The main issues are JGB duration exposure, ongoing yen-bond rebalancing, realized bond sale losses, and earnings-quality volatility.</w:t>
      </w:r>
    </w:p>
    <w:p>
      <w:pPr>
        <w:spacing w:after="100"/>
      </w:pPr>
      <w:r>
        <w:t>Sumitomo Life has improved, but remains the relative capital laggard. FY2025 ESR recovery to around 197% reduces near-term pressure, but capital remains weaker than top-tier peers. Wider spreads are justified, but excessive concession can create RV opportunity.</w:t>
      </w:r>
    </w:p>
    <w:p>
      <w:pPr>
        <w:spacing w:after="100"/>
      </w:pPr>
      <w:r>
        <w:t>Fukoku is a conservative mid-sized mutual insurer with stable fundamentals and solid capital, but its smaller scale and lower diversification justify a structural spread premium versus the Big Four.</w:t>
      </w:r>
    </w:p>
    <w:p>
      <w:pPr>
        <w:spacing w:after="100"/>
      </w:pPr>
      <w:r>
        <w:t>Asahi Life's turnaround story is largely priced. The negative spread issue has materially improved and rating momentum has already played out. Further spread compression needs a new catalyst.</w:t>
      </w:r>
    </w:p>
    <w:p>
      <w:pPr>
        <w:spacing w:after="100"/>
      </w:pPr>
      <w:r>
        <w:t>For P&amp;C, MS&amp;AD / MSINS looks more defensive and structurally cleaner, while Sompo offers better overseas diversification but higher execution, reserve, and U.S. casualty risk, especially after Aspen.</w:t>
      </w:r>
    </w:p>
    <w:p>
      <w:pPr>
        <w:sectPr>
          <w:footerReference w:type="default" r:id="rId9"/>
          <w:pgSz w:w="12240" w:h="15840"/>
          <w:pgMar w:top="792" w:right="792" w:bottom="792" w:left="792" w:header="720" w:footer="720" w:gutter="0"/>
          <w:cols w:space="720"/>
          <w:docGrid w:linePitch="360"/>
        </w:sectPr>
      </w:pPr>
    </w:p>
    <w:p>
      <w:pPr>
        <w:pStyle w:val="Heading1"/>
      </w:pPr>
      <w:r>
        <w:t>Trade Ideas</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160"/>
            <w:vAlign w:val="top"/>
            <w:shd w:fill="1F4E79"/>
          </w:tcPr>
          <w:p>
            <w:pPr>
              <w:spacing w:after="0"/>
            </w:pPr>
            <w:r>
              <w:rPr>
                <w:b/>
                <w:color w:val="FFFFFF"/>
                <w:sz w:val="16"/>
              </w:rPr>
            </w:r>
            <w:r>
              <w:rPr>
                <w:b/>
                <w:color w:val="FFFFFF"/>
                <w:sz w:val="16"/>
              </w:rPr>
              <w:t>Bond / Curve</w:t>
            </w:r>
          </w:p>
        </w:tc>
        <w:tc>
          <w:tcPr>
            <w:tcW w:type="dxa" w:w="2160"/>
            <w:vAlign w:val="top"/>
            <w:shd w:fill="1F4E79"/>
          </w:tcPr>
          <w:p>
            <w:pPr>
              <w:spacing w:after="0"/>
            </w:pPr>
            <w:r>
              <w:rPr>
                <w:b/>
                <w:color w:val="FFFFFF"/>
                <w:sz w:val="16"/>
              </w:rPr>
            </w:r>
            <w:r>
              <w:rPr>
                <w:b/>
                <w:color w:val="FFFFFF"/>
                <w:sz w:val="16"/>
              </w:rPr>
              <w:t>View</w:t>
            </w:r>
          </w:p>
        </w:tc>
        <w:tc>
          <w:tcPr>
            <w:tcW w:type="dxa" w:w="6624"/>
            <w:vAlign w:val="top"/>
            <w:shd w:fill="1F4E79"/>
          </w:tcPr>
          <w:p>
            <w:pPr>
              <w:spacing w:after="0"/>
            </w:pPr>
            <w:r>
              <w:rPr>
                <w:b/>
                <w:color w:val="FFFFFF"/>
                <w:sz w:val="16"/>
              </w:rPr>
            </w:r>
            <w:r>
              <w:rPr>
                <w:b/>
                <w:color w:val="FFFFFF"/>
                <w:sz w:val="16"/>
              </w:rPr>
              <w:t>Rationale</w:t>
            </w:r>
          </w:p>
        </w:tc>
        <w:tc>
          <w:tcPr>
            <w:tcW w:type="dxa" w:w="4320"/>
            <w:vAlign w:val="top"/>
            <w:shd w:fill="1F4E79"/>
          </w:tcPr>
          <w:p>
            <w:pPr>
              <w:spacing w:after="0"/>
            </w:pPr>
            <w:r>
              <w:rPr>
                <w:b/>
                <w:color w:val="FFFFFF"/>
                <w:sz w:val="16"/>
              </w:rPr>
            </w:r>
            <w:r>
              <w:rPr>
                <w:b/>
                <w:color w:val="FFFFFF"/>
                <w:sz w:val="16"/>
              </w:rPr>
              <w:t>Key Risk</w:t>
            </w:r>
          </w:p>
        </w:tc>
      </w:tr>
      <w:tr>
        <w:tc>
          <w:tcPr>
            <w:tcW w:type="dxa" w:w="2160"/>
            <w:vAlign w:val="top"/>
          </w:tcPr>
          <w:p>
            <w:pPr>
              <w:spacing w:after="0"/>
            </w:pPr>
            <w:r>
              <w:rPr>
                <w:sz w:val="16"/>
              </w:rPr>
            </w:r>
            <w:r>
              <w:rPr>
                <w:b w:val="0"/>
                <w:sz w:val="16"/>
              </w:rPr>
              <w:t>NIPLIF curve</w:t>
            </w:r>
          </w:p>
        </w:tc>
        <w:tc>
          <w:tcPr>
            <w:tcW w:type="dxa" w:w="2160"/>
            <w:vAlign w:val="top"/>
          </w:tcPr>
          <w:p>
            <w:pPr>
              <w:spacing w:after="0"/>
            </w:pPr>
            <w:r>
              <w:rPr>
                <w:sz w:val="16"/>
              </w:rPr>
            </w:r>
            <w:r>
              <w:rPr>
                <w:b w:val="0"/>
                <w:sz w:val="16"/>
              </w:rPr>
              <w:t>Benchmark / hold core exposure</w:t>
            </w:r>
          </w:p>
        </w:tc>
        <w:tc>
          <w:tcPr>
            <w:tcW w:type="dxa" w:w="6624"/>
            <w:vAlign w:val="top"/>
          </w:tcPr>
          <w:p>
            <w:pPr>
              <w:spacing w:after="0"/>
            </w:pPr>
            <w:r>
              <w:rPr>
                <w:sz w:val="16"/>
              </w:rPr>
            </w:r>
            <w:r>
              <w:rPr>
                <w:b w:val="0"/>
                <w:sz w:val="16"/>
              </w:rPr>
              <w:t>Strongest franchise, deepest USD curve, best market access. ESR decline is M&amp;A-driven and manageable, not credit impairment.</w:t>
            </w:r>
          </w:p>
        </w:tc>
        <w:tc>
          <w:tcPr>
            <w:tcW w:type="dxa" w:w="4320"/>
            <w:vAlign w:val="top"/>
          </w:tcPr>
          <w:p>
            <w:pPr>
              <w:spacing w:after="0"/>
            </w:pPr>
            <w:r>
              <w:rPr>
                <w:sz w:val="16"/>
              </w:rPr>
            </w:r>
            <w:r>
              <w:rPr>
                <w:b w:val="0"/>
                <w:sz w:val="16"/>
              </w:rPr>
              <w:t>Potential hybrid supply as ESR buffer is rebuilt.</w:t>
            </w:r>
          </w:p>
        </w:tc>
      </w:tr>
      <w:tr>
        <w:tc>
          <w:tcPr>
            <w:tcW w:type="dxa" w:w="2160"/>
            <w:vAlign w:val="top"/>
          </w:tcPr>
          <w:p>
            <w:pPr>
              <w:spacing w:after="0"/>
            </w:pPr>
            <w:r>
              <w:rPr>
                <w:sz w:val="16"/>
              </w:rPr>
            </w:r>
            <w:r>
              <w:rPr>
                <w:b w:val="0"/>
                <w:sz w:val="16"/>
              </w:rPr>
              <w:t>MYLIFE curve</w:t>
            </w:r>
          </w:p>
        </w:tc>
        <w:tc>
          <w:tcPr>
            <w:tcW w:type="dxa" w:w="2160"/>
            <w:vAlign w:val="top"/>
          </w:tcPr>
          <w:p>
            <w:pPr>
              <w:spacing w:after="0"/>
            </w:pPr>
            <w:r>
              <w:rPr>
                <w:sz w:val="16"/>
              </w:rPr>
            </w:r>
            <w:r>
              <w:rPr>
                <w:b w:val="0"/>
                <w:sz w:val="16"/>
              </w:rPr>
              <w:t>Defensive carry / compression candidate</w:t>
            </w:r>
          </w:p>
        </w:tc>
        <w:tc>
          <w:tcPr>
            <w:tcW w:type="dxa" w:w="6624"/>
            <w:vAlign w:val="top"/>
          </w:tcPr>
          <w:p>
            <w:pPr>
              <w:spacing w:after="0"/>
            </w:pPr>
            <w:r>
              <w:rPr>
                <w:sz w:val="16"/>
              </w:rPr>
            </w:r>
            <w:r>
              <w:rPr>
                <w:b w:val="0"/>
                <w:sz w:val="16"/>
              </w:rPr>
              <w:t>Large unrealized equity gains provide flexibility against JGB losses and support capital resilience.</w:t>
            </w:r>
          </w:p>
        </w:tc>
        <w:tc>
          <w:tcPr>
            <w:tcW w:type="dxa" w:w="4320"/>
            <w:vAlign w:val="top"/>
          </w:tcPr>
          <w:p>
            <w:pPr>
              <w:spacing w:after="0"/>
            </w:pPr>
            <w:r>
              <w:rPr>
                <w:sz w:val="16"/>
              </w:rPr>
            </w:r>
            <w:r>
              <w:rPr>
                <w:b w:val="0"/>
                <w:sz w:val="16"/>
              </w:rPr>
              <w:t>Equity-market correction reduces ESR cushion.</w:t>
            </w:r>
          </w:p>
        </w:tc>
      </w:tr>
      <w:tr>
        <w:tc>
          <w:tcPr>
            <w:tcW w:type="dxa" w:w="2160"/>
            <w:vAlign w:val="top"/>
          </w:tcPr>
          <w:p>
            <w:pPr>
              <w:spacing w:after="0"/>
            </w:pPr>
            <w:r>
              <w:rPr>
                <w:sz w:val="16"/>
              </w:rPr>
            </w:r>
            <w:r>
              <w:rPr>
                <w:b w:val="0"/>
                <w:sz w:val="16"/>
              </w:rPr>
              <w:t>DAIL 6.2% Perp '35c</w:t>
            </w:r>
          </w:p>
        </w:tc>
        <w:tc>
          <w:tcPr>
            <w:tcW w:type="dxa" w:w="2160"/>
            <w:vAlign w:val="top"/>
          </w:tcPr>
          <w:p>
            <w:pPr>
              <w:spacing w:after="0"/>
            </w:pPr>
            <w:r>
              <w:rPr>
                <w:sz w:val="16"/>
              </w:rPr>
            </w:r>
            <w:r>
              <w:rPr>
                <w:b w:val="0"/>
                <w:sz w:val="16"/>
              </w:rPr>
              <w:t>Fair value / avoid chasing</w:t>
            </w:r>
          </w:p>
        </w:tc>
        <w:tc>
          <w:tcPr>
            <w:tcW w:type="dxa" w:w="6624"/>
            <w:vAlign w:val="top"/>
          </w:tcPr>
          <w:p>
            <w:pPr>
              <w:spacing w:after="0"/>
            </w:pPr>
            <w:r>
              <w:rPr>
                <w:sz w:val="16"/>
              </w:rPr>
            </w:r>
            <w:r>
              <w:rPr>
                <w:b w:val="0"/>
                <w:sz w:val="16"/>
              </w:rPr>
              <w:t>Strong domestic OpCo, but rating momentum has largely played out. JGB rebalancing and earnings quality matter more from here.</w:t>
            </w:r>
          </w:p>
        </w:tc>
        <w:tc>
          <w:tcPr>
            <w:tcW w:type="dxa" w:w="4320"/>
            <w:vAlign w:val="top"/>
          </w:tcPr>
          <w:p>
            <w:pPr>
              <w:spacing w:after="0"/>
            </w:pPr>
            <w:r>
              <w:rPr>
                <w:sz w:val="16"/>
              </w:rPr>
            </w:r>
            <w:r>
              <w:rPr>
                <w:b w:val="0"/>
                <w:sz w:val="16"/>
              </w:rPr>
              <w:t>Further technical tightening after Moody’s upgrade.</w:t>
            </w:r>
          </w:p>
        </w:tc>
      </w:tr>
      <w:tr>
        <w:tc>
          <w:tcPr>
            <w:tcW w:type="dxa" w:w="2160"/>
            <w:vAlign w:val="top"/>
          </w:tcPr>
          <w:p>
            <w:pPr>
              <w:spacing w:after="0"/>
            </w:pPr>
            <w:r>
              <w:rPr>
                <w:sz w:val="16"/>
              </w:rPr>
            </w:r>
            <w:r>
              <w:rPr>
                <w:b w:val="0"/>
                <w:sz w:val="16"/>
              </w:rPr>
              <w:t>SUMILF curve</w:t>
            </w:r>
          </w:p>
        </w:tc>
        <w:tc>
          <w:tcPr>
            <w:tcW w:type="dxa" w:w="2160"/>
            <w:vAlign w:val="top"/>
          </w:tcPr>
          <w:p>
            <w:pPr>
              <w:spacing w:after="0"/>
            </w:pPr>
            <w:r>
              <w:rPr>
                <w:sz w:val="16"/>
              </w:rPr>
            </w:r>
            <w:r>
              <w:rPr>
                <w:b w:val="0"/>
                <w:sz w:val="16"/>
              </w:rPr>
              <w:t>Selective RV</w:t>
            </w:r>
          </w:p>
        </w:tc>
        <w:tc>
          <w:tcPr>
            <w:tcW w:type="dxa" w:w="6624"/>
            <w:vAlign w:val="top"/>
          </w:tcPr>
          <w:p>
            <w:pPr>
              <w:spacing w:after="0"/>
            </w:pPr>
            <w:r>
              <w:rPr>
                <w:sz w:val="16"/>
              </w:rPr>
            </w:r>
            <w:r>
              <w:rPr>
                <w:b w:val="0"/>
                <w:sz w:val="16"/>
              </w:rPr>
              <w:t>ESR recovered to around 197%, reducing near-term pressure, but Sumitomo remains the capital laggard.</w:t>
            </w:r>
          </w:p>
        </w:tc>
        <w:tc>
          <w:tcPr>
            <w:tcW w:type="dxa" w:w="4320"/>
            <w:vAlign w:val="top"/>
          </w:tcPr>
          <w:p>
            <w:pPr>
              <w:spacing w:after="0"/>
            </w:pPr>
            <w:r>
              <w:rPr>
                <w:sz w:val="16"/>
              </w:rPr>
            </w:r>
            <w:r>
              <w:rPr>
                <w:b w:val="0"/>
                <w:sz w:val="16"/>
              </w:rPr>
              <w:t>Additional sub debt issuance; ESR recovery not sustained.</w:t>
            </w:r>
          </w:p>
        </w:tc>
      </w:tr>
      <w:tr>
        <w:tc>
          <w:tcPr>
            <w:tcW w:type="dxa" w:w="2160"/>
            <w:vAlign w:val="top"/>
          </w:tcPr>
          <w:p>
            <w:pPr>
              <w:spacing w:after="0"/>
            </w:pPr>
            <w:r>
              <w:rPr>
                <w:sz w:val="16"/>
              </w:rPr>
            </w:r>
            <w:r>
              <w:rPr>
                <w:b w:val="0"/>
                <w:sz w:val="16"/>
              </w:rPr>
              <w:t>FUKOKU 6.8%</w:t>
            </w:r>
          </w:p>
        </w:tc>
        <w:tc>
          <w:tcPr>
            <w:tcW w:type="dxa" w:w="2160"/>
            <w:vAlign w:val="top"/>
          </w:tcPr>
          <w:p>
            <w:pPr>
              <w:spacing w:after="0"/>
            </w:pPr>
            <w:r>
              <w:rPr>
                <w:sz w:val="16"/>
              </w:rPr>
            </w:r>
            <w:r>
              <w:rPr>
                <w:b w:val="0"/>
                <w:sz w:val="16"/>
              </w:rPr>
              <w:t>Carry / RV candidate</w:t>
            </w:r>
          </w:p>
        </w:tc>
        <w:tc>
          <w:tcPr>
            <w:tcW w:type="dxa" w:w="6624"/>
            <w:vAlign w:val="top"/>
          </w:tcPr>
          <w:p>
            <w:pPr>
              <w:spacing w:after="0"/>
            </w:pPr>
            <w:r>
              <w:rPr>
                <w:sz w:val="16"/>
              </w:rPr>
            </w:r>
            <w:r>
              <w:rPr>
                <w:b w:val="0"/>
                <w:sz w:val="16"/>
              </w:rPr>
              <w:t>Conservative mid-sized mutual; should trade wider than Big Four, but not as a materially weak credit.</w:t>
            </w:r>
          </w:p>
        </w:tc>
        <w:tc>
          <w:tcPr>
            <w:tcW w:type="dxa" w:w="4320"/>
            <w:vAlign w:val="top"/>
          </w:tcPr>
          <w:p>
            <w:pPr>
              <w:spacing w:after="0"/>
            </w:pPr>
            <w:r>
              <w:rPr>
                <w:sz w:val="16"/>
              </w:rPr>
            </w:r>
            <w:r>
              <w:rPr>
                <w:b w:val="0"/>
                <w:sz w:val="16"/>
              </w:rPr>
              <w:t>Smaller scale, weaker liquidity, limited catalyst.</w:t>
            </w:r>
          </w:p>
        </w:tc>
      </w:tr>
      <w:tr>
        <w:tc>
          <w:tcPr>
            <w:tcW w:type="dxa" w:w="2160"/>
            <w:vAlign w:val="top"/>
          </w:tcPr>
          <w:p>
            <w:pPr>
              <w:spacing w:after="0"/>
            </w:pPr>
            <w:r>
              <w:rPr>
                <w:sz w:val="16"/>
              </w:rPr>
            </w:r>
            <w:r>
              <w:rPr>
                <w:b w:val="0"/>
                <w:sz w:val="16"/>
              </w:rPr>
              <w:t>ASAMLI</w:t>
            </w:r>
          </w:p>
        </w:tc>
        <w:tc>
          <w:tcPr>
            <w:tcW w:type="dxa" w:w="2160"/>
            <w:vAlign w:val="top"/>
          </w:tcPr>
          <w:p>
            <w:pPr>
              <w:spacing w:after="0"/>
            </w:pPr>
            <w:r>
              <w:rPr>
                <w:sz w:val="16"/>
              </w:rPr>
            </w:r>
            <w:r>
              <w:rPr>
                <w:b w:val="0"/>
                <w:sz w:val="16"/>
              </w:rPr>
              <w:t>Buy only on weakness</w:t>
            </w:r>
          </w:p>
        </w:tc>
        <w:tc>
          <w:tcPr>
            <w:tcW w:type="dxa" w:w="6624"/>
            <w:vAlign w:val="top"/>
          </w:tcPr>
          <w:p>
            <w:pPr>
              <w:spacing w:after="0"/>
            </w:pPr>
            <w:r>
              <w:rPr>
                <w:sz w:val="16"/>
              </w:rPr>
            </w:r>
            <w:r>
              <w:rPr>
                <w:b w:val="0"/>
                <w:sz w:val="16"/>
              </w:rPr>
              <w:t>Credit improved materially, but the upgrade/rerating phase is largely done.</w:t>
            </w:r>
          </w:p>
        </w:tc>
        <w:tc>
          <w:tcPr>
            <w:tcW w:type="dxa" w:w="4320"/>
            <w:vAlign w:val="top"/>
          </w:tcPr>
          <w:p>
            <w:pPr>
              <w:spacing w:after="0"/>
            </w:pPr>
            <w:r>
              <w:rPr>
                <w:sz w:val="16"/>
              </w:rPr>
            </w:r>
            <w:r>
              <w:rPr>
                <w:b w:val="0"/>
                <w:sz w:val="16"/>
              </w:rPr>
              <w:t>Limited near-term catalyst; smaller franchise.</w:t>
            </w:r>
          </w:p>
        </w:tc>
      </w:tr>
      <w:tr>
        <w:tc>
          <w:tcPr>
            <w:tcW w:type="dxa" w:w="2160"/>
            <w:vAlign w:val="top"/>
          </w:tcPr>
          <w:p>
            <w:pPr>
              <w:spacing w:after="0"/>
            </w:pPr>
            <w:r>
              <w:rPr>
                <w:sz w:val="16"/>
              </w:rPr>
            </w:r>
            <w:r>
              <w:rPr>
                <w:b w:val="0"/>
                <w:sz w:val="16"/>
              </w:rPr>
              <w:t>SMPHD '37 senior</w:t>
            </w:r>
          </w:p>
        </w:tc>
        <w:tc>
          <w:tcPr>
            <w:tcW w:type="dxa" w:w="2160"/>
            <w:vAlign w:val="top"/>
          </w:tcPr>
          <w:p>
            <w:pPr>
              <w:spacing w:after="0"/>
            </w:pPr>
            <w:r>
              <w:rPr>
                <w:sz w:val="16"/>
              </w:rPr>
            </w:r>
            <w:r>
              <w:rPr>
                <w:b w:val="0"/>
                <w:sz w:val="16"/>
              </w:rPr>
              <w:t>HoldCo premium trade</w:t>
            </w:r>
          </w:p>
        </w:tc>
        <w:tc>
          <w:tcPr>
            <w:tcW w:type="dxa" w:w="6624"/>
            <w:vAlign w:val="top"/>
          </w:tcPr>
          <w:p>
            <w:pPr>
              <w:spacing w:after="0"/>
            </w:pPr>
            <w:r>
              <w:rPr>
                <w:sz w:val="16"/>
              </w:rPr>
            </w:r>
            <w:r>
              <w:rPr>
                <w:b w:val="0"/>
                <w:sz w:val="16"/>
              </w:rPr>
              <w:t>Wider spread may reflect unfamiliar HoldCo senior qualifying T2 structure rather than near-term solvency concerns.</w:t>
            </w:r>
          </w:p>
        </w:tc>
        <w:tc>
          <w:tcPr>
            <w:tcW w:type="dxa" w:w="4320"/>
            <w:vAlign w:val="top"/>
          </w:tcPr>
          <w:p>
            <w:pPr>
              <w:spacing w:after="0"/>
            </w:pPr>
            <w:r>
              <w:rPr>
                <w:sz w:val="16"/>
              </w:rPr>
            </w:r>
            <w:r>
              <w:rPr>
                <w:b w:val="0"/>
                <w:sz w:val="16"/>
              </w:rPr>
              <w:t>HoldCo subordination, Aspen execution, U.S. casualty reserve risk.</w:t>
            </w:r>
          </w:p>
        </w:tc>
      </w:tr>
      <w:tr>
        <w:tc>
          <w:tcPr>
            <w:tcW w:type="dxa" w:w="2160"/>
            <w:vAlign w:val="top"/>
          </w:tcPr>
          <w:p>
            <w:pPr>
              <w:spacing w:after="0"/>
            </w:pPr>
            <w:r>
              <w:rPr>
                <w:sz w:val="16"/>
              </w:rPr>
            </w:r>
            <w:r>
              <w:rPr>
                <w:b w:val="0"/>
                <w:sz w:val="16"/>
              </w:rPr>
              <w:t>MSINS paper</w:t>
            </w:r>
          </w:p>
        </w:tc>
        <w:tc>
          <w:tcPr>
            <w:tcW w:type="dxa" w:w="2160"/>
            <w:vAlign w:val="top"/>
          </w:tcPr>
          <w:p>
            <w:pPr>
              <w:spacing w:after="0"/>
            </w:pPr>
            <w:r>
              <w:rPr>
                <w:sz w:val="16"/>
              </w:rPr>
            </w:r>
            <w:r>
              <w:rPr>
                <w:b w:val="0"/>
                <w:sz w:val="16"/>
              </w:rPr>
              <w:t>Defensive P&amp;C OpCo</w:t>
            </w:r>
          </w:p>
        </w:tc>
        <w:tc>
          <w:tcPr>
            <w:tcW w:type="dxa" w:w="6624"/>
            <w:vAlign w:val="top"/>
          </w:tcPr>
          <w:p>
            <w:pPr>
              <w:spacing w:after="0"/>
            </w:pPr>
            <w:r>
              <w:rPr>
                <w:sz w:val="16"/>
              </w:rPr>
            </w:r>
            <w:r>
              <w:rPr>
                <w:b w:val="0"/>
                <w:sz w:val="16"/>
              </w:rPr>
              <w:t>Cleaner OpCo claim, strong domestic P&amp;C franchise, MS&amp;AD group support.</w:t>
            </w:r>
          </w:p>
        </w:tc>
        <w:tc>
          <w:tcPr>
            <w:tcW w:type="dxa" w:w="4320"/>
            <w:vAlign w:val="top"/>
          </w:tcPr>
          <w:p>
            <w:pPr>
              <w:spacing w:after="0"/>
            </w:pPr>
            <w:r>
              <w:rPr>
                <w:sz w:val="16"/>
              </w:rPr>
            </w:r>
            <w:r>
              <w:rPr>
                <w:b w:val="0"/>
                <w:sz w:val="16"/>
              </w:rPr>
              <w:t>Cat losses, reserve deterioration, claims inflation.</w:t>
            </w:r>
          </w:p>
        </w:tc>
      </w:tr>
    </w:tbl>
    <w:p/>
    <w:p>
      <w:pPr>
        <w:pStyle w:val="Heading1"/>
      </w:pPr>
      <w:r>
        <w:t>Issuer Scorecard</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016"/>
            <w:vAlign w:val="top"/>
            <w:shd w:fill="1F4E79"/>
          </w:tcPr>
          <w:p>
            <w:pPr>
              <w:spacing w:after="0"/>
            </w:pPr>
            <w:r>
              <w:rPr>
                <w:b/>
                <w:color w:val="FFFFFF"/>
                <w:sz w:val="16"/>
              </w:rPr>
            </w:r>
            <w:r>
              <w:rPr>
                <w:b/>
                <w:color w:val="FFFFFF"/>
                <w:sz w:val="16"/>
              </w:rPr>
              <w:t>Issuer</w:t>
            </w:r>
          </w:p>
        </w:tc>
        <w:tc>
          <w:tcPr>
            <w:tcW w:type="dxa" w:w="3456"/>
            <w:vAlign w:val="top"/>
            <w:shd w:fill="1F4E79"/>
          </w:tcPr>
          <w:p>
            <w:pPr>
              <w:spacing w:after="0"/>
            </w:pPr>
            <w:r>
              <w:rPr>
                <w:b/>
                <w:color w:val="FFFFFF"/>
                <w:sz w:val="16"/>
              </w:rPr>
            </w:r>
            <w:r>
              <w:rPr>
                <w:b/>
                <w:color w:val="FFFFFF"/>
                <w:sz w:val="16"/>
              </w:rPr>
              <w:t>Latest Performance / FY2026 Outlook</w:t>
            </w:r>
          </w:p>
        </w:tc>
        <w:tc>
          <w:tcPr>
            <w:tcW w:type="dxa" w:w="3456"/>
            <w:vAlign w:val="top"/>
            <w:shd w:fill="1F4E79"/>
          </w:tcPr>
          <w:p>
            <w:pPr>
              <w:spacing w:after="0"/>
            </w:pPr>
            <w:r>
              <w:rPr>
                <w:b/>
                <w:color w:val="FFFFFF"/>
                <w:sz w:val="16"/>
              </w:rPr>
            </w:r>
            <w:r>
              <w:rPr>
                <w:b/>
                <w:color w:val="FFFFFF"/>
                <w:sz w:val="16"/>
              </w:rPr>
              <w:t>Domestic / Overseas Mix</w:t>
            </w:r>
          </w:p>
        </w:tc>
        <w:tc>
          <w:tcPr>
            <w:tcW w:type="dxa" w:w="4320"/>
            <w:vAlign w:val="top"/>
            <w:shd w:fill="1F4E79"/>
          </w:tcPr>
          <w:p>
            <w:pPr>
              <w:spacing w:after="0"/>
            </w:pPr>
            <w:r>
              <w:rPr>
                <w:b/>
                <w:color w:val="FFFFFF"/>
                <w:sz w:val="16"/>
              </w:rPr>
            </w:r>
            <w:r>
              <w:rPr>
                <w:b/>
                <w:color w:val="FFFFFF"/>
                <w:sz w:val="16"/>
              </w:rPr>
              <w:t>Credit View</w:t>
            </w:r>
          </w:p>
        </w:tc>
        <w:tc>
          <w:tcPr>
            <w:tcW w:type="dxa" w:w="3456"/>
            <w:vAlign w:val="top"/>
            <w:shd w:fill="1F4E79"/>
          </w:tcPr>
          <w:p>
            <w:pPr>
              <w:spacing w:after="0"/>
            </w:pPr>
            <w:r>
              <w:rPr>
                <w:b/>
                <w:color w:val="FFFFFF"/>
                <w:sz w:val="16"/>
              </w:rPr>
            </w:r>
            <w:r>
              <w:rPr>
                <w:b/>
                <w:color w:val="FFFFFF"/>
                <w:sz w:val="16"/>
              </w:rPr>
              <w:t>RV / Monitoring Point</w:t>
            </w:r>
          </w:p>
        </w:tc>
      </w:tr>
      <w:tr>
        <w:tc>
          <w:tcPr>
            <w:tcW w:type="dxa" w:w="2016"/>
            <w:vAlign w:val="top"/>
          </w:tcPr>
          <w:p>
            <w:pPr>
              <w:spacing w:after="0"/>
            </w:pPr>
            <w:r>
              <w:rPr>
                <w:sz w:val="16"/>
              </w:rPr>
            </w:r>
            <w:r>
              <w:rPr>
                <w:b w:val="0"/>
                <w:sz w:val="16"/>
              </w:rPr>
              <w:t>Nippon Life</w:t>
            </w:r>
          </w:p>
        </w:tc>
        <w:tc>
          <w:tcPr>
            <w:tcW w:type="dxa" w:w="3456"/>
            <w:vAlign w:val="top"/>
          </w:tcPr>
          <w:p>
            <w:pPr>
              <w:spacing w:after="0"/>
            </w:pPr>
            <w:r>
              <w:rPr>
                <w:sz w:val="16"/>
              </w:rPr>
            </w:r>
            <w:r>
              <w:rPr>
                <w:b w:val="0"/>
                <w:sz w:val="16"/>
              </w:rPr>
              <w:t>FY2025: operating profit remains strong; ESR declined to around 195% after Resolution Life consolidation.</w:t>
            </w:r>
          </w:p>
        </w:tc>
        <w:tc>
          <w:tcPr>
            <w:tcW w:type="dxa" w:w="3456"/>
            <w:vAlign w:val="top"/>
          </w:tcPr>
          <w:p>
            <w:pPr>
              <w:spacing w:after="0"/>
            </w:pPr>
            <w:r>
              <w:rPr>
                <w:sz w:val="16"/>
              </w:rPr>
            </w:r>
            <w:r>
              <w:rPr>
                <w:b w:val="0"/>
                <w:sz w:val="16"/>
              </w:rPr>
              <w:t>Reported FY2025 still mainly domestic, but overseas exposure is rising through Resolution Life, Corebridge, MLC / Acenda, and India AM.</w:t>
            </w:r>
          </w:p>
        </w:tc>
        <w:tc>
          <w:tcPr>
            <w:tcW w:type="dxa" w:w="4320"/>
            <w:vAlign w:val="top"/>
          </w:tcPr>
          <w:p>
            <w:pPr>
              <w:spacing w:after="0"/>
            </w:pPr>
            <w:r>
              <w:rPr>
                <w:sz w:val="16"/>
              </w:rPr>
            </w:r>
            <w:r>
              <w:rPr>
                <w:b w:val="0"/>
                <w:sz w:val="16"/>
              </w:rPr>
              <w:t>Benchmark defensive credit. ESR decline is a manageable consequence of strategic M&amp;A, not underlying deterioration. Resolution Life improves diversification and long-term franchise quality.</w:t>
            </w:r>
          </w:p>
        </w:tc>
        <w:tc>
          <w:tcPr>
            <w:tcW w:type="dxa" w:w="3456"/>
            <w:vAlign w:val="top"/>
          </w:tcPr>
          <w:p>
            <w:pPr>
              <w:spacing w:after="0"/>
            </w:pPr>
            <w:r>
              <w:rPr>
                <w:sz w:val="16"/>
              </w:rPr>
            </w:r>
            <w:r>
              <w:rPr>
                <w:b w:val="0"/>
                <w:sz w:val="16"/>
              </w:rPr>
              <w:t>Watch ESR rebuild, Resolution Life integration, and potential hybrid/subordinated issuance.</w:t>
            </w:r>
          </w:p>
        </w:tc>
      </w:tr>
      <w:tr>
        <w:tc>
          <w:tcPr>
            <w:tcW w:type="dxa" w:w="2016"/>
            <w:vAlign w:val="top"/>
          </w:tcPr>
          <w:p>
            <w:pPr>
              <w:spacing w:after="0"/>
            </w:pPr>
            <w:r>
              <w:rPr>
                <w:sz w:val="16"/>
              </w:rPr>
            </w:r>
            <w:r>
              <w:rPr>
                <w:b w:val="0"/>
                <w:sz w:val="16"/>
              </w:rPr>
              <w:t>Meiji Yasuda Life</w:t>
            </w:r>
          </w:p>
        </w:tc>
        <w:tc>
          <w:tcPr>
            <w:tcW w:type="dxa" w:w="3456"/>
            <w:vAlign w:val="top"/>
          </w:tcPr>
          <w:p>
            <w:pPr>
              <w:spacing w:after="0"/>
            </w:pPr>
            <w:r>
              <w:rPr>
                <w:sz w:val="16"/>
              </w:rPr>
            </w:r>
            <w:r>
              <w:rPr>
                <w:b w:val="0"/>
                <w:sz w:val="16"/>
              </w:rPr>
              <w:t>FY2025: stable capital profile; ESR remains around management comfort range.</w:t>
            </w:r>
          </w:p>
        </w:tc>
        <w:tc>
          <w:tcPr>
            <w:tcW w:type="dxa" w:w="3456"/>
            <w:vAlign w:val="top"/>
          </w:tcPr>
          <w:p>
            <w:pPr>
              <w:spacing w:after="0"/>
            </w:pPr>
            <w:r>
              <w:rPr>
                <w:sz w:val="16"/>
              </w:rPr>
            </w:r>
            <w:r>
              <w:rPr>
                <w:b w:val="0"/>
                <w:sz w:val="16"/>
              </w:rPr>
              <w:t>Domestic still dominant; overseas contribution rising through The Standard / StanCorp and American Heritage in the U.S.</w:t>
            </w:r>
          </w:p>
        </w:tc>
        <w:tc>
          <w:tcPr>
            <w:tcW w:type="dxa" w:w="4320"/>
            <w:vAlign w:val="top"/>
          </w:tcPr>
          <w:p>
            <w:pPr>
              <w:spacing w:after="0"/>
            </w:pPr>
            <w:r>
              <w:rPr>
                <w:sz w:val="16"/>
              </w:rPr>
            </w:r>
            <w:r>
              <w:rPr>
                <w:b w:val="0"/>
                <w:sz w:val="16"/>
              </w:rPr>
              <w:t>Best JGB-volatility buffer among major lifers. Large unrealized equity gains provide flexibility to absorb domestic bond losses and manage portfolio rebalancing.</w:t>
            </w:r>
          </w:p>
        </w:tc>
        <w:tc>
          <w:tcPr>
            <w:tcW w:type="dxa" w:w="3456"/>
            <w:vAlign w:val="top"/>
          </w:tcPr>
          <w:p>
            <w:pPr>
              <w:spacing w:after="0"/>
            </w:pPr>
            <w:r>
              <w:rPr>
                <w:sz w:val="16"/>
              </w:rPr>
            </w:r>
            <w:r>
              <w:rPr>
                <w:b w:val="0"/>
                <w:sz w:val="16"/>
              </w:rPr>
              <w:t>Equity buffer is also the main risk: sharp Japanese equity correction could reduce ESR cushion quickly.</w:t>
            </w:r>
          </w:p>
        </w:tc>
      </w:tr>
      <w:tr>
        <w:tc>
          <w:tcPr>
            <w:tcW w:type="dxa" w:w="2016"/>
            <w:vAlign w:val="top"/>
          </w:tcPr>
          <w:p>
            <w:pPr>
              <w:spacing w:after="0"/>
            </w:pPr>
            <w:r>
              <w:rPr>
                <w:sz w:val="16"/>
              </w:rPr>
            </w:r>
            <w:r>
              <w:rPr>
                <w:b w:val="0"/>
                <w:sz w:val="16"/>
              </w:rPr>
              <w:t>Dai-ichi Life Insurance</w:t>
            </w:r>
          </w:p>
        </w:tc>
        <w:tc>
          <w:tcPr>
            <w:tcW w:type="dxa" w:w="3456"/>
            <w:vAlign w:val="top"/>
          </w:tcPr>
          <w:p>
            <w:pPr>
              <w:spacing w:after="0"/>
            </w:pPr>
            <w:r>
              <w:rPr>
                <w:sz w:val="16"/>
              </w:rPr>
            </w:r>
            <w:r>
              <w:rPr>
                <w:b w:val="0"/>
                <w:sz w:val="16"/>
              </w:rPr>
              <w:t>FY2025: headline profit supported by net capital gains; yen fixed-income rebalancing remains significant.</w:t>
            </w:r>
          </w:p>
        </w:tc>
        <w:tc>
          <w:tcPr>
            <w:tcW w:type="dxa" w:w="3456"/>
            <w:vAlign w:val="top"/>
          </w:tcPr>
          <w:p>
            <w:pPr>
              <w:spacing w:after="0"/>
            </w:pPr>
            <w:r>
              <w:rPr>
                <w:sz w:val="16"/>
              </w:rPr>
            </w:r>
            <w:r>
              <w:rPr>
                <w:b w:val="0"/>
                <w:sz w:val="16"/>
              </w:rPr>
              <w:t>Essentially domestic Japan OpCo. Overseas diversification sits mainly at Dai-ichi Life Holdings, not this legal entity.</w:t>
            </w:r>
          </w:p>
        </w:tc>
        <w:tc>
          <w:tcPr>
            <w:tcW w:type="dxa" w:w="4320"/>
            <w:vAlign w:val="top"/>
          </w:tcPr>
          <w:p>
            <w:pPr>
              <w:spacing w:after="0"/>
            </w:pPr>
            <w:r>
              <w:rPr>
                <w:sz w:val="16"/>
              </w:rPr>
            </w:r>
            <w:r>
              <w:rPr>
                <w:b w:val="0"/>
                <w:sz w:val="16"/>
              </w:rPr>
              <w:t>Strong domestic OpCo. Credit quality is high, but the key debate is JGB rebalancing, realized bond losses, and earnings quality, not franchise strength.</w:t>
            </w:r>
          </w:p>
        </w:tc>
        <w:tc>
          <w:tcPr>
            <w:tcW w:type="dxa" w:w="3456"/>
            <w:vAlign w:val="top"/>
          </w:tcPr>
          <w:p>
            <w:pPr>
              <w:spacing w:after="0"/>
            </w:pPr>
            <w:r>
              <w:rPr>
                <w:sz w:val="16"/>
              </w:rPr>
            </w:r>
            <w:r>
              <w:rPr>
                <w:b w:val="0"/>
                <w:sz w:val="16"/>
              </w:rPr>
              <w:t>Do not over-credit OpCo for group overseas diversification. Watch rebalancing loss, fundamental profit, and duration risk.</w:t>
            </w:r>
          </w:p>
        </w:tc>
      </w:tr>
      <w:tr>
        <w:tc>
          <w:tcPr>
            <w:tcW w:type="dxa" w:w="2016"/>
            <w:vAlign w:val="top"/>
          </w:tcPr>
          <w:p>
            <w:pPr>
              <w:spacing w:after="0"/>
            </w:pPr>
            <w:r>
              <w:rPr>
                <w:sz w:val="16"/>
              </w:rPr>
            </w:r>
            <w:r>
              <w:rPr>
                <w:b w:val="0"/>
                <w:sz w:val="16"/>
              </w:rPr>
              <w:t>Dai-ichi Life Holdings</w:t>
            </w:r>
          </w:p>
        </w:tc>
        <w:tc>
          <w:tcPr>
            <w:tcW w:type="dxa" w:w="3456"/>
            <w:vAlign w:val="top"/>
          </w:tcPr>
          <w:p>
            <w:pPr>
              <w:spacing w:after="0"/>
            </w:pPr>
            <w:r>
              <w:rPr>
                <w:sz w:val="16"/>
              </w:rPr>
            </w:r>
            <w:r>
              <w:rPr>
                <w:b w:val="0"/>
                <w:sz w:val="16"/>
              </w:rPr>
              <w:t>FY2025: group ESR improved to around 220%; overseas businesses continue to support diversification.</w:t>
            </w:r>
          </w:p>
        </w:tc>
        <w:tc>
          <w:tcPr>
            <w:tcW w:type="dxa" w:w="3456"/>
            <w:vAlign w:val="top"/>
          </w:tcPr>
          <w:p>
            <w:pPr>
              <w:spacing w:after="0"/>
            </w:pPr>
            <w:r>
              <w:rPr>
                <w:sz w:val="16"/>
              </w:rPr>
            </w:r>
            <w:r>
              <w:rPr>
                <w:b w:val="0"/>
                <w:sz w:val="16"/>
              </w:rPr>
              <w:t>Domestic ~70–75%; overseas / non-insurance ~25–30%, depending on profit metric.</w:t>
            </w:r>
          </w:p>
        </w:tc>
        <w:tc>
          <w:tcPr>
            <w:tcW w:type="dxa" w:w="4320"/>
            <w:vAlign w:val="top"/>
          </w:tcPr>
          <w:p>
            <w:pPr>
              <w:spacing w:after="0"/>
            </w:pPr>
            <w:r>
              <w:rPr>
                <w:sz w:val="16"/>
              </w:rPr>
            </w:r>
            <w:r>
              <w:rPr>
                <w:b w:val="0"/>
                <w:sz w:val="16"/>
              </w:rPr>
              <w:t>Best diversification story among Japanese life groups. Protective, TAL, Partners Life and Vietnam improve earnings mix.</w:t>
            </w:r>
          </w:p>
        </w:tc>
        <w:tc>
          <w:tcPr>
            <w:tcW w:type="dxa" w:w="3456"/>
            <w:vAlign w:val="top"/>
          </w:tcPr>
          <w:p>
            <w:pPr>
              <w:spacing w:after="0"/>
            </w:pPr>
            <w:r>
              <w:rPr>
                <w:sz w:val="16"/>
              </w:rPr>
            </w:r>
            <w:r>
              <w:rPr>
                <w:b w:val="0"/>
                <w:sz w:val="16"/>
              </w:rPr>
              <w:t>HoldCo risks: structural subordination, M&amp;A execution, capital allocation, upstreaming capacity.</w:t>
            </w:r>
          </w:p>
        </w:tc>
      </w:tr>
      <w:tr>
        <w:tc>
          <w:tcPr>
            <w:tcW w:type="dxa" w:w="2016"/>
            <w:vAlign w:val="top"/>
          </w:tcPr>
          <w:p>
            <w:pPr>
              <w:spacing w:after="0"/>
            </w:pPr>
            <w:r>
              <w:rPr>
                <w:sz w:val="16"/>
              </w:rPr>
            </w:r>
            <w:r>
              <w:rPr>
                <w:b w:val="0"/>
                <w:sz w:val="16"/>
              </w:rPr>
              <w:t>Sumitomo Life</w:t>
            </w:r>
          </w:p>
        </w:tc>
        <w:tc>
          <w:tcPr>
            <w:tcW w:type="dxa" w:w="3456"/>
            <w:vAlign w:val="top"/>
          </w:tcPr>
          <w:p>
            <w:pPr>
              <w:spacing w:after="0"/>
            </w:pPr>
            <w:r>
              <w:rPr>
                <w:sz w:val="16"/>
              </w:rPr>
            </w:r>
            <w:r>
              <w:rPr>
                <w:b w:val="0"/>
                <w:sz w:val="16"/>
              </w:rPr>
              <w:t>FY2025: ESR recovered to around 197%.</w:t>
            </w:r>
          </w:p>
        </w:tc>
        <w:tc>
          <w:tcPr>
            <w:tcW w:type="dxa" w:w="3456"/>
            <w:vAlign w:val="top"/>
          </w:tcPr>
          <w:p>
            <w:pPr>
              <w:spacing w:after="0"/>
            </w:pPr>
            <w:r>
              <w:rPr>
                <w:sz w:val="16"/>
              </w:rPr>
            </w:r>
            <w:r>
              <w:rPr>
                <w:b w:val="0"/>
                <w:sz w:val="16"/>
              </w:rPr>
              <w:t>Domestic dominant; overseas mainly Symetra and Singlife.</w:t>
            </w:r>
          </w:p>
        </w:tc>
        <w:tc>
          <w:tcPr>
            <w:tcW w:type="dxa" w:w="4320"/>
            <w:vAlign w:val="top"/>
          </w:tcPr>
          <w:p>
            <w:pPr>
              <w:spacing w:after="0"/>
            </w:pPr>
            <w:r>
              <w:rPr>
                <w:sz w:val="16"/>
              </w:rPr>
            </w:r>
            <w:r>
              <w:rPr>
                <w:b w:val="0"/>
                <w:sz w:val="16"/>
              </w:rPr>
              <w:t>Improving but still relative capital laggard. ESR recovery reduces near-term pressure, but capital remains weaker than Nippon / Dai-ichi / Meiji.</w:t>
            </w:r>
          </w:p>
        </w:tc>
        <w:tc>
          <w:tcPr>
            <w:tcW w:type="dxa" w:w="3456"/>
            <w:vAlign w:val="top"/>
          </w:tcPr>
          <w:p>
            <w:pPr>
              <w:spacing w:after="0"/>
            </w:pPr>
            <w:r>
              <w:rPr>
                <w:sz w:val="16"/>
              </w:rPr>
            </w:r>
            <w:r>
              <w:rPr>
                <w:b w:val="0"/>
                <w:sz w:val="16"/>
              </w:rPr>
              <w:t>Wider spread is justified, but excessive concession creates RV opportunity. Watch additional sub debt issuance.</w:t>
            </w:r>
          </w:p>
        </w:tc>
      </w:tr>
      <w:tr>
        <w:tc>
          <w:tcPr>
            <w:tcW w:type="dxa" w:w="2016"/>
            <w:vAlign w:val="top"/>
          </w:tcPr>
          <w:p>
            <w:pPr>
              <w:spacing w:after="0"/>
            </w:pPr>
            <w:r>
              <w:rPr>
                <w:sz w:val="16"/>
              </w:rPr>
            </w:r>
            <w:r>
              <w:rPr>
                <w:b w:val="0"/>
                <w:sz w:val="16"/>
              </w:rPr>
              <w:t>Fukoku Mutual Life</w:t>
            </w:r>
          </w:p>
        </w:tc>
        <w:tc>
          <w:tcPr>
            <w:tcW w:type="dxa" w:w="3456"/>
            <w:vAlign w:val="top"/>
          </w:tcPr>
          <w:p>
            <w:pPr>
              <w:spacing w:after="0"/>
            </w:pPr>
            <w:r>
              <w:rPr>
                <w:sz w:val="16"/>
              </w:rPr>
            </w:r>
            <w:r>
              <w:rPr>
                <w:b w:val="0"/>
                <w:sz w:val="16"/>
              </w:rPr>
              <w:t>Stable earnings and capital profile; ESR remains solid.</w:t>
            </w:r>
          </w:p>
        </w:tc>
        <w:tc>
          <w:tcPr>
            <w:tcW w:type="dxa" w:w="3456"/>
            <w:vAlign w:val="top"/>
          </w:tcPr>
          <w:p>
            <w:pPr>
              <w:spacing w:after="0"/>
            </w:pPr>
            <w:r>
              <w:rPr>
                <w:sz w:val="16"/>
              </w:rPr>
            </w:r>
            <w:r>
              <w:rPr>
                <w:b w:val="0"/>
                <w:sz w:val="16"/>
              </w:rPr>
              <w:t>Domestic &gt;95%; overseas minimal.</w:t>
            </w:r>
          </w:p>
        </w:tc>
        <w:tc>
          <w:tcPr>
            <w:tcW w:type="dxa" w:w="4320"/>
            <w:vAlign w:val="top"/>
          </w:tcPr>
          <w:p>
            <w:pPr>
              <w:spacing w:after="0"/>
            </w:pPr>
            <w:r>
              <w:rPr>
                <w:sz w:val="16"/>
              </w:rPr>
            </w:r>
            <w:r>
              <w:rPr>
                <w:b w:val="0"/>
                <w:sz w:val="16"/>
              </w:rPr>
              <w:t>Conservative mid-sized mutual. Stable and well capitalized, but smaller scale and limited diversification cap upside.</w:t>
            </w:r>
          </w:p>
        </w:tc>
        <w:tc>
          <w:tcPr>
            <w:tcW w:type="dxa" w:w="3456"/>
            <w:vAlign w:val="top"/>
          </w:tcPr>
          <w:p>
            <w:pPr>
              <w:spacing w:after="0"/>
            </w:pPr>
            <w:r>
              <w:rPr>
                <w:sz w:val="16"/>
              </w:rPr>
            </w:r>
            <w:r>
              <w:rPr>
                <w:b w:val="0"/>
                <w:sz w:val="16"/>
              </w:rPr>
              <w:t>Structural spread concession to Big Four should remain, but it should not trade like an impaired credit.</w:t>
            </w:r>
          </w:p>
        </w:tc>
      </w:tr>
      <w:tr>
        <w:tc>
          <w:tcPr>
            <w:tcW w:type="dxa" w:w="2016"/>
            <w:vAlign w:val="top"/>
          </w:tcPr>
          <w:p>
            <w:pPr>
              <w:spacing w:after="0"/>
            </w:pPr>
            <w:r>
              <w:rPr>
                <w:sz w:val="16"/>
              </w:rPr>
            </w:r>
            <w:r>
              <w:rPr>
                <w:b w:val="0"/>
                <w:sz w:val="16"/>
              </w:rPr>
              <w:t>Asahi Mutual Life</w:t>
            </w:r>
          </w:p>
        </w:tc>
        <w:tc>
          <w:tcPr>
            <w:tcW w:type="dxa" w:w="3456"/>
            <w:vAlign w:val="top"/>
          </w:tcPr>
          <w:p>
            <w:pPr>
              <w:spacing w:after="0"/>
            </w:pPr>
            <w:r>
              <w:rPr>
                <w:sz w:val="16"/>
              </w:rPr>
            </w:r>
            <w:r>
              <w:rPr>
                <w:b w:val="0"/>
                <w:sz w:val="16"/>
              </w:rPr>
              <w:t>Recent upgrade cycle; negative spread burden materially reduced.</w:t>
            </w:r>
          </w:p>
        </w:tc>
        <w:tc>
          <w:tcPr>
            <w:tcW w:type="dxa" w:w="3456"/>
            <w:vAlign w:val="top"/>
          </w:tcPr>
          <w:p>
            <w:pPr>
              <w:spacing w:after="0"/>
            </w:pPr>
            <w:r>
              <w:rPr>
                <w:sz w:val="16"/>
              </w:rPr>
            </w:r>
            <w:r>
              <w:rPr>
                <w:b w:val="0"/>
                <w:sz w:val="16"/>
              </w:rPr>
              <w:t>Domestic &gt;95%; overseas negligible.</w:t>
            </w:r>
          </w:p>
        </w:tc>
        <w:tc>
          <w:tcPr>
            <w:tcW w:type="dxa" w:w="4320"/>
            <w:vAlign w:val="top"/>
          </w:tcPr>
          <w:p>
            <w:pPr>
              <w:spacing w:after="0"/>
            </w:pPr>
            <w:r>
              <w:rPr>
                <w:sz w:val="16"/>
              </w:rPr>
            </w:r>
            <w:r>
              <w:rPr>
                <w:b w:val="0"/>
                <w:sz w:val="16"/>
              </w:rPr>
              <w:t>Turnaround largely priced. Credit quality has improved, but rating-driven spread compression has mostly played out.</w:t>
            </w:r>
          </w:p>
        </w:tc>
        <w:tc>
          <w:tcPr>
            <w:tcW w:type="dxa" w:w="3456"/>
            <w:vAlign w:val="top"/>
          </w:tcPr>
          <w:p>
            <w:pPr>
              <w:spacing w:after="0"/>
            </w:pPr>
            <w:r>
              <w:rPr>
                <w:sz w:val="16"/>
              </w:rPr>
            </w:r>
            <w:r>
              <w:rPr>
                <w:b w:val="0"/>
                <w:sz w:val="16"/>
              </w:rPr>
              <w:t>Buy only if spreads widen enough to recreate valuation gap. Further upside needs new catalyst.</w:t>
            </w:r>
          </w:p>
        </w:tc>
      </w:tr>
      <w:tr>
        <w:tc>
          <w:tcPr>
            <w:tcW w:type="dxa" w:w="2016"/>
            <w:vAlign w:val="top"/>
          </w:tcPr>
          <w:p>
            <w:pPr>
              <w:spacing w:after="0"/>
            </w:pPr>
            <w:r>
              <w:rPr>
                <w:sz w:val="16"/>
              </w:rPr>
            </w:r>
            <w:r>
              <w:rPr>
                <w:b w:val="0"/>
                <w:sz w:val="16"/>
              </w:rPr>
              <w:t>Mitsui Sumitomo Insurance</w:t>
            </w:r>
          </w:p>
        </w:tc>
        <w:tc>
          <w:tcPr>
            <w:tcW w:type="dxa" w:w="3456"/>
            <w:vAlign w:val="top"/>
          </w:tcPr>
          <w:p>
            <w:pPr>
              <w:spacing w:after="0"/>
            </w:pPr>
            <w:r>
              <w:rPr>
                <w:sz w:val="16"/>
              </w:rPr>
            </w:r>
            <w:r>
              <w:rPr>
                <w:b w:val="0"/>
                <w:sz w:val="16"/>
              </w:rPr>
              <w:t>Strong underwriting and capital position.</w:t>
            </w:r>
          </w:p>
        </w:tc>
        <w:tc>
          <w:tcPr>
            <w:tcW w:type="dxa" w:w="3456"/>
            <w:vAlign w:val="top"/>
          </w:tcPr>
          <w:p>
            <w:pPr>
              <w:spacing w:after="0"/>
            </w:pPr>
            <w:r>
              <w:rPr>
                <w:sz w:val="16"/>
              </w:rPr>
            </w:r>
            <w:r>
              <w:rPr>
                <w:b w:val="0"/>
                <w:sz w:val="16"/>
              </w:rPr>
              <w:t>Domestic-heavy P&amp;C OpCo.</w:t>
            </w:r>
          </w:p>
        </w:tc>
        <w:tc>
          <w:tcPr>
            <w:tcW w:type="dxa" w:w="4320"/>
            <w:vAlign w:val="top"/>
          </w:tcPr>
          <w:p>
            <w:pPr>
              <w:spacing w:after="0"/>
            </w:pPr>
            <w:r>
              <w:rPr>
                <w:sz w:val="16"/>
              </w:rPr>
            </w:r>
            <w:r>
              <w:rPr>
                <w:b w:val="0"/>
                <w:sz w:val="16"/>
              </w:rPr>
              <w:t>High-quality Japanese P&amp;C OpCo. Cleaner structure than HoldCo paper, with direct operating-company claim.</w:t>
            </w:r>
          </w:p>
        </w:tc>
        <w:tc>
          <w:tcPr>
            <w:tcW w:type="dxa" w:w="3456"/>
            <w:vAlign w:val="top"/>
          </w:tcPr>
          <w:p>
            <w:pPr>
              <w:spacing w:after="0"/>
            </w:pPr>
            <w:r>
              <w:rPr>
                <w:sz w:val="16"/>
              </w:rPr>
            </w:r>
            <w:r>
              <w:rPr>
                <w:b w:val="0"/>
                <w:sz w:val="16"/>
              </w:rPr>
              <w:t>Should trade structurally tighter than SMPHD HoldCo paper, all else equal.</w:t>
            </w:r>
          </w:p>
        </w:tc>
      </w:tr>
      <w:tr>
        <w:tc>
          <w:tcPr>
            <w:tcW w:type="dxa" w:w="2016"/>
            <w:vAlign w:val="top"/>
          </w:tcPr>
          <w:p>
            <w:pPr>
              <w:spacing w:after="0"/>
            </w:pPr>
            <w:r>
              <w:rPr>
                <w:sz w:val="16"/>
              </w:rPr>
            </w:r>
            <w:r>
              <w:rPr>
                <w:b w:val="0"/>
                <w:sz w:val="16"/>
              </w:rPr>
              <w:t>MS&amp;AD Holdings</w:t>
            </w:r>
          </w:p>
        </w:tc>
        <w:tc>
          <w:tcPr>
            <w:tcW w:type="dxa" w:w="3456"/>
            <w:vAlign w:val="top"/>
          </w:tcPr>
          <w:p>
            <w:pPr>
              <w:spacing w:after="0"/>
            </w:pPr>
            <w:r>
              <w:rPr>
                <w:sz w:val="16"/>
              </w:rPr>
            </w:r>
            <w:r>
              <w:rPr>
                <w:b w:val="0"/>
                <w:sz w:val="16"/>
              </w:rPr>
              <w:t>Strong domestic P&amp;C franchise; capital remains high.</w:t>
            </w:r>
          </w:p>
        </w:tc>
        <w:tc>
          <w:tcPr>
            <w:tcW w:type="dxa" w:w="3456"/>
            <w:vAlign w:val="top"/>
          </w:tcPr>
          <w:p>
            <w:pPr>
              <w:spacing w:after="0"/>
            </w:pPr>
            <w:r>
              <w:rPr>
                <w:sz w:val="16"/>
              </w:rPr>
            </w:r>
            <w:r>
              <w:rPr>
                <w:b w:val="0"/>
                <w:sz w:val="16"/>
              </w:rPr>
              <w:t>Domestic ~70–75%; overseas ~25–30%.</w:t>
            </w:r>
          </w:p>
        </w:tc>
        <w:tc>
          <w:tcPr>
            <w:tcW w:type="dxa" w:w="4320"/>
            <w:vAlign w:val="top"/>
          </w:tcPr>
          <w:p>
            <w:pPr>
              <w:spacing w:after="0"/>
            </w:pPr>
            <w:r>
              <w:rPr>
                <w:sz w:val="16"/>
              </w:rPr>
            </w:r>
            <w:r>
              <w:rPr>
                <w:b w:val="0"/>
                <w:sz w:val="16"/>
              </w:rPr>
              <w:t>Defensive P&amp;C group. Strong Japan P&amp;C franchise and MSINS as core earnings engine.</w:t>
            </w:r>
          </w:p>
        </w:tc>
        <w:tc>
          <w:tcPr>
            <w:tcW w:type="dxa" w:w="3456"/>
            <w:vAlign w:val="top"/>
          </w:tcPr>
          <w:p>
            <w:pPr>
              <w:spacing w:after="0"/>
            </w:pPr>
            <w:r>
              <w:rPr>
                <w:sz w:val="16"/>
              </w:rPr>
            </w:r>
            <w:r>
              <w:rPr>
                <w:b w:val="0"/>
                <w:sz w:val="16"/>
              </w:rPr>
              <w:t>Watch cat losses, pricing discipline, reserve adequacy, capital returns.</w:t>
            </w:r>
          </w:p>
        </w:tc>
      </w:tr>
      <w:tr>
        <w:tc>
          <w:tcPr>
            <w:tcW w:type="dxa" w:w="2016"/>
            <w:vAlign w:val="top"/>
          </w:tcPr>
          <w:p>
            <w:pPr>
              <w:spacing w:after="0"/>
            </w:pPr>
            <w:r>
              <w:rPr>
                <w:sz w:val="16"/>
              </w:rPr>
            </w:r>
            <w:r>
              <w:rPr>
                <w:b w:val="0"/>
                <w:sz w:val="16"/>
              </w:rPr>
              <w:t>Sompo Holdings</w:t>
            </w:r>
          </w:p>
        </w:tc>
        <w:tc>
          <w:tcPr>
            <w:tcW w:type="dxa" w:w="3456"/>
            <w:vAlign w:val="top"/>
          </w:tcPr>
          <w:p>
            <w:pPr>
              <w:spacing w:after="0"/>
            </w:pPr>
            <w:r>
              <w:rPr>
                <w:sz w:val="16"/>
              </w:rPr>
            </w:r>
            <w:r>
              <w:rPr>
                <w:b w:val="0"/>
                <w:sz w:val="16"/>
              </w:rPr>
              <w:t>Strong FY2025; overseas contribution is increasingly important; Aspen increases overseas exposure.</w:t>
            </w:r>
          </w:p>
        </w:tc>
        <w:tc>
          <w:tcPr>
            <w:tcW w:type="dxa" w:w="3456"/>
            <w:vAlign w:val="top"/>
          </w:tcPr>
          <w:p>
            <w:pPr>
              <w:spacing w:after="0"/>
            </w:pPr>
            <w:r>
              <w:rPr>
                <w:sz w:val="16"/>
              </w:rPr>
            </w:r>
            <w:r>
              <w:rPr>
                <w:b w:val="0"/>
                <w:sz w:val="16"/>
              </w:rPr>
              <w:t>Domestic ~55–60%; overseas ~40–45%.</w:t>
            </w:r>
          </w:p>
        </w:tc>
        <w:tc>
          <w:tcPr>
            <w:tcW w:type="dxa" w:w="4320"/>
            <w:vAlign w:val="top"/>
          </w:tcPr>
          <w:p>
            <w:pPr>
              <w:spacing w:after="0"/>
            </w:pPr>
            <w:r>
              <w:rPr>
                <w:sz w:val="16"/>
              </w:rPr>
            </w:r>
            <w:r>
              <w:rPr>
                <w:b w:val="0"/>
                <w:sz w:val="16"/>
              </w:rPr>
              <w:t>Most international Japanese insurance credit. Better diversification than domestic-heavy peers, but higher overseas execution, reserve, and U.S. casualty risk.</w:t>
            </w:r>
          </w:p>
        </w:tc>
        <w:tc>
          <w:tcPr>
            <w:tcW w:type="dxa" w:w="3456"/>
            <w:vAlign w:val="top"/>
          </w:tcPr>
          <w:p>
            <w:pPr>
              <w:spacing w:after="0"/>
            </w:pPr>
            <w:r>
              <w:rPr>
                <w:sz w:val="16"/>
              </w:rPr>
            </w:r>
            <w:r>
              <w:rPr>
                <w:b w:val="0"/>
                <w:sz w:val="16"/>
              </w:rPr>
              <w:t>HoldCo structure deserves spread premium. Aspen integration and reserve development are key.</w:t>
            </w:r>
          </w:p>
        </w:tc>
      </w:tr>
    </w:tbl>
    <w:p/>
    <w:p>
      <w:pPr>
        <w:sectPr>
          <w:footerReference w:type="default" r:id="rId10"/>
          <w:pgSz w:w="15840" w:h="12240" w:orient="landscape"/>
          <w:pgMar w:top="720" w:right="648" w:bottom="720" w:left="648" w:header="720" w:footer="720" w:gutter="0"/>
          <w:cols w:space="720"/>
          <w:docGrid w:linePitch="360"/>
        </w:sectPr>
      </w:pPr>
    </w:p>
    <w:p>
      <w:pPr>
        <w:pStyle w:val="Heading1"/>
      </w:pPr>
      <w:r>
        <w:t>Sector View - Japanese Life Insurers</w:t>
      </w:r>
    </w:p>
    <w:p>
      <w:pPr>
        <w:spacing w:after="120"/>
      </w:pPr>
      <w:r>
        <w:t>Japanese lifers enter the ESR transition from a relatively strong capital position after several years of capital build-up, ALM optimization, and portfolio repositioning. Higher domestic rates are a long-term positive for reinvestment yield, but the transition creates short-term volatility through JGB valuation losses, bond rebalancing, surrender risk, and changes in liability duration.</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024"/>
            <w:vAlign w:val="top"/>
            <w:shd w:fill="1F4E79"/>
          </w:tcPr>
          <w:p>
            <w:pPr>
              <w:spacing w:after="0"/>
            </w:pPr>
            <w:r>
              <w:rPr>
                <w:b/>
                <w:color w:val="FFFFFF"/>
                <w:sz w:val="16"/>
              </w:rPr>
            </w:r>
            <w:r>
              <w:rPr>
                <w:b/>
                <w:color w:val="FFFFFF"/>
                <w:sz w:val="16"/>
              </w:rPr>
              <w:t>Risk</w:t>
            </w:r>
          </w:p>
        </w:tc>
        <w:tc>
          <w:tcPr>
            <w:tcW w:type="dxa" w:w="6480"/>
            <w:vAlign w:val="top"/>
            <w:shd w:fill="1F4E79"/>
          </w:tcPr>
          <w:p>
            <w:pPr>
              <w:spacing w:after="0"/>
            </w:pPr>
            <w:r>
              <w:rPr>
                <w:b/>
                <w:color w:val="FFFFFF"/>
                <w:sz w:val="16"/>
              </w:rPr>
            </w:r>
            <w:r>
              <w:rPr>
                <w:b/>
                <w:color w:val="FFFFFF"/>
                <w:sz w:val="16"/>
              </w:rPr>
              <w:t>Credit Implication</w:t>
            </w:r>
          </w:p>
        </w:tc>
      </w:tr>
      <w:tr>
        <w:tc>
          <w:tcPr>
            <w:tcW w:type="dxa" w:w="3024"/>
            <w:vAlign w:val="top"/>
          </w:tcPr>
          <w:p>
            <w:pPr>
              <w:spacing w:after="0"/>
            </w:pPr>
            <w:r>
              <w:rPr>
                <w:sz w:val="16"/>
              </w:rPr>
            </w:r>
            <w:r>
              <w:rPr>
                <w:b w:val="0"/>
                <w:sz w:val="16"/>
              </w:rPr>
              <w:t>JGB yield volatility</w:t>
            </w:r>
          </w:p>
        </w:tc>
        <w:tc>
          <w:tcPr>
            <w:tcW w:type="dxa" w:w="6480"/>
            <w:vAlign w:val="top"/>
          </w:tcPr>
          <w:p>
            <w:pPr>
              <w:spacing w:after="0"/>
            </w:pPr>
            <w:r>
              <w:rPr>
                <w:sz w:val="16"/>
              </w:rPr>
            </w:r>
            <w:r>
              <w:rPr>
                <w:b w:val="0"/>
                <w:sz w:val="16"/>
              </w:rPr>
              <w:t>Creates valuation losses and realized losses if old low-coupon bonds are sold.</w:t>
            </w:r>
          </w:p>
        </w:tc>
      </w:tr>
      <w:tr>
        <w:tc>
          <w:tcPr>
            <w:tcW w:type="dxa" w:w="3024"/>
            <w:vAlign w:val="top"/>
          </w:tcPr>
          <w:p>
            <w:pPr>
              <w:spacing w:after="0"/>
            </w:pPr>
            <w:r>
              <w:rPr>
                <w:sz w:val="16"/>
              </w:rPr>
            </w:r>
            <w:r>
              <w:rPr>
                <w:b w:val="0"/>
                <w:sz w:val="16"/>
              </w:rPr>
              <w:t>Policy-reserve-matching bond rebalancing</w:t>
            </w:r>
          </w:p>
        </w:tc>
        <w:tc>
          <w:tcPr>
            <w:tcW w:type="dxa" w:w="6480"/>
            <w:vAlign w:val="top"/>
          </w:tcPr>
          <w:p>
            <w:pPr>
              <w:spacing w:after="0"/>
            </w:pPr>
            <w:r>
              <w:rPr>
                <w:sz w:val="16"/>
              </w:rPr>
            </w:r>
            <w:r>
              <w:rPr>
                <w:b w:val="0"/>
                <w:sz w:val="16"/>
              </w:rPr>
              <w:t>Can improve long-term ALM and reinvestment yield but hurts near-term P&amp;L.</w:t>
            </w:r>
          </w:p>
        </w:tc>
      </w:tr>
      <w:tr>
        <w:tc>
          <w:tcPr>
            <w:tcW w:type="dxa" w:w="3024"/>
            <w:vAlign w:val="top"/>
          </w:tcPr>
          <w:p>
            <w:pPr>
              <w:spacing w:after="0"/>
            </w:pPr>
            <w:r>
              <w:rPr>
                <w:sz w:val="16"/>
              </w:rPr>
            </w:r>
            <w:r>
              <w:rPr>
                <w:b w:val="0"/>
                <w:sz w:val="16"/>
              </w:rPr>
              <w:t>Equity-market sensitivity</w:t>
            </w:r>
          </w:p>
        </w:tc>
        <w:tc>
          <w:tcPr>
            <w:tcW w:type="dxa" w:w="6480"/>
            <w:vAlign w:val="top"/>
          </w:tcPr>
          <w:p>
            <w:pPr>
              <w:spacing w:after="0"/>
            </w:pPr>
            <w:r>
              <w:rPr>
                <w:sz w:val="16"/>
              </w:rPr>
            </w:r>
            <w:r>
              <w:rPr>
                <w:b w:val="0"/>
                <w:sz w:val="16"/>
              </w:rPr>
              <w:t>Supports ESR when equities rise, but can quickly reduce capital buffer if markets correct.</w:t>
            </w:r>
          </w:p>
        </w:tc>
      </w:tr>
      <w:tr>
        <w:tc>
          <w:tcPr>
            <w:tcW w:type="dxa" w:w="3024"/>
            <w:vAlign w:val="top"/>
          </w:tcPr>
          <w:p>
            <w:pPr>
              <w:spacing w:after="0"/>
            </w:pPr>
            <w:r>
              <w:rPr>
                <w:sz w:val="16"/>
              </w:rPr>
            </w:r>
            <w:r>
              <w:rPr>
                <w:b w:val="0"/>
                <w:sz w:val="16"/>
              </w:rPr>
              <w:t>Surrender risk</w:t>
            </w:r>
          </w:p>
        </w:tc>
        <w:tc>
          <w:tcPr>
            <w:tcW w:type="dxa" w:w="6480"/>
            <w:vAlign w:val="top"/>
          </w:tcPr>
          <w:p>
            <w:pPr>
              <w:spacing w:after="0"/>
            </w:pPr>
            <w:r>
              <w:rPr>
                <w:sz w:val="16"/>
              </w:rPr>
            </w:r>
            <w:r>
              <w:rPr>
                <w:b w:val="0"/>
                <w:sz w:val="16"/>
              </w:rPr>
              <w:t>Higher rates can increase policyholder surrender incentives and shorten liability duration.</w:t>
            </w:r>
          </w:p>
        </w:tc>
      </w:tr>
      <w:tr>
        <w:tc>
          <w:tcPr>
            <w:tcW w:type="dxa" w:w="3024"/>
            <w:vAlign w:val="top"/>
          </w:tcPr>
          <w:p>
            <w:pPr>
              <w:spacing w:after="0"/>
            </w:pPr>
            <w:r>
              <w:rPr>
                <w:sz w:val="16"/>
              </w:rPr>
            </w:r>
            <w:r>
              <w:rPr>
                <w:b w:val="0"/>
                <w:sz w:val="16"/>
              </w:rPr>
              <w:t>Hybrid supply</w:t>
            </w:r>
          </w:p>
        </w:tc>
        <w:tc>
          <w:tcPr>
            <w:tcW w:type="dxa" w:w="6480"/>
            <w:vAlign w:val="top"/>
          </w:tcPr>
          <w:p>
            <w:pPr>
              <w:spacing w:after="0"/>
            </w:pPr>
            <w:r>
              <w:rPr>
                <w:sz w:val="16"/>
              </w:rPr>
            </w:r>
            <w:r>
              <w:rPr>
                <w:b w:val="0"/>
                <w:sz w:val="16"/>
              </w:rPr>
              <w:t>Issuers with weaker ESR buffers may issue more capital instruments, creating technical overhang.</w:t>
            </w:r>
          </w:p>
        </w:tc>
      </w:tr>
    </w:tbl>
    <w:p/>
    <w:p>
      <w:pPr>
        <w:pStyle w:val="Heading2"/>
      </w:pPr>
      <w:r>
        <w:t>Within first-tier lifers:</w:t>
      </w:r>
    </w:p>
    <w:p>
      <w:r>
        <w:t>Nippon Life &gt; Dai-ichi Life / Meiji Yasuda &gt; Sumitomo Life</w:t>
      </w:r>
    </w:p>
    <w:p>
      <w:r>
        <w:t>Nippon remains the benchmark. Dai-ichi and Meiji are both high-quality, but their risks differ: Dai-ichi has more visible JGB rebalancing / earnings-quality risk, while Meiji has stronger equity buffer but higher equity-market sensitivity. Sumitomo has improved, but still deserves a capital concession.</w:t>
      </w:r>
    </w:p>
    <w:p>
      <w:pPr>
        <w:pStyle w:val="Heading2"/>
      </w:pPr>
      <w:r>
        <w:t>Within second-tier lifers:</w:t>
      </w:r>
    </w:p>
    <w:p>
      <w:r>
        <w:t>Fukoku &gt; Asahi on defensive credit quality; Asahi only on valuation weakness</w:t>
      </w:r>
    </w:p>
    <w:p>
      <w:r>
        <w:t>Fukoku is conservative and stable but smaller. Asahi has improved materially, but the easy upgrade/rerating story is largely done.</w:t>
      </w:r>
    </w:p>
    <w:p>
      <w:pPr>
        <w:pStyle w:val="Heading1"/>
      </w:pPr>
      <w:r>
        <w:t>Sector View - Japanese P&amp;C Insurers</w:t>
      </w:r>
    </w:p>
    <w:p>
      <w:r>
        <w:t>Japanese P&amp;C credits are less exposed to domestic rate-transition risk than lifers. Their key risks are claims inflation, natural catastrophe losses, reserve adequacy, overseas execution, and normalization of strategic equity gains.</w:t>
      </w:r>
    </w:p>
    <w:p>
      <w:r>
        <w:t>The Japanese domestic P&amp;C market is dominated by the three mega groups: Tokio Marine, MS&amp;AD, and Sompo. In USD bonds, the key investable names are MSINS / MS&amp;AD and SMPHD / Sompo.</w:t>
      </w:r>
    </w:p>
    <w:p>
      <w:r>
        <w:t>Our core view: MSINS OpCo paper should trade structurally tighter than SMPHD HoldCo paper, all else equal.</w:t>
      </w:r>
    </w:p>
    <w:p>
      <w:r>
        <w:rPr>
          <w:b/>
        </w:rPr>
        <w:t>Reason:</w:t>
      </w:r>
    </w:p>
    <w:p>
      <w:pPr>
        <w:pStyle w:val="ListBullet"/>
      </w:pPr>
      <w:r>
        <w:t>MSINS bonds benefit from direct claim on the operating company.</w:t>
      </w:r>
    </w:p>
    <w:p>
      <w:pPr>
        <w:pStyle w:val="ListBullet"/>
      </w:pPr>
      <w:r>
        <w:t>SMPHD bonds are HoldCo obligations and rely on upstreamed cash flows from subsidiaries.</w:t>
      </w:r>
    </w:p>
    <w:p>
      <w:pPr>
        <w:pStyle w:val="ListBullet"/>
      </w:pPr>
      <w:r>
        <w:t>Sompo has better overseas diversification, but also more overseas execution and reserve risk.</w:t>
      </w:r>
    </w:p>
    <w:p>
      <w:pPr>
        <w:pStyle w:val="ListBullet"/>
      </w:pPr>
      <w:r>
        <w:t>A HoldCo premium is justified; excessive widening can create RV opportunity.</w:t>
      </w:r>
    </w:p>
    <w:p>
      <w:pPr>
        <w:sectPr>
          <w:footerReference w:type="default" r:id="rId11"/>
          <w:pgSz w:w="15840" w:h="12240" w:orient="landscape"/>
          <w:pgMar w:top="792" w:right="792" w:bottom="792" w:left="792" w:header="720" w:footer="720" w:gutter="0"/>
          <w:cols w:space="720"/>
          <w:docGrid w:linePitch="360"/>
        </w:sectPr>
      </w:pPr>
    </w:p>
    <w:p>
      <w:pPr>
        <w:pStyle w:val="Heading1"/>
      </w:pPr>
      <w:r>
        <w:t>Company Structure</w:t>
      </w:r>
    </w:p>
    <w:p>
      <w:r>
        <w:t>Most major Japanese life insurers are mutual companies. In most cases, the insurer itself is both the core operating company and the parent entity of the group.</w:t>
      </w:r>
    </w:p>
    <w:p>
      <w:r>
        <w:t>The main exception is Dai-ichi Life, which shifted to a listed holding company structure in 2016. Dai-ichi Life Insurance is the domestic OpCo, while Dai-ichi Life Holdings owns the broader group, including overseas platforms.</w:t>
      </w:r>
    </w:p>
    <w:p>
      <w:r>
        <w:t>Major Japanese P&amp;C insurers are generally organized under listed holding company structures.</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rPr>
          <w:tblHeader w:val="true"/>
        </w:trPr>
        <w:tc>
          <w:tcPr>
            <w:tcW w:type="dxa" w:w="2016"/>
            <w:vAlign w:val="top"/>
            <w:shd w:fill="1F4E79"/>
          </w:tcPr>
          <w:p>
            <w:pPr>
              <w:spacing w:after="0"/>
            </w:pPr>
            <w:r>
              <w:rPr>
                <w:b/>
                <w:color w:val="FFFFFF"/>
                <w:sz w:val="16"/>
              </w:rPr>
            </w:r>
            <w:r>
              <w:rPr>
                <w:b/>
                <w:color w:val="FFFFFF"/>
                <w:sz w:val="16"/>
              </w:rPr>
              <w:t>Group / Company</w:t>
            </w:r>
          </w:p>
        </w:tc>
        <w:tc>
          <w:tcPr>
            <w:tcW w:type="dxa" w:w="2160"/>
            <w:vAlign w:val="top"/>
            <w:shd w:fill="1F4E79"/>
          </w:tcPr>
          <w:p>
            <w:pPr>
              <w:spacing w:after="0"/>
            </w:pPr>
            <w:r>
              <w:rPr>
                <w:b/>
                <w:color w:val="FFFFFF"/>
                <w:sz w:val="16"/>
              </w:rPr>
            </w:r>
            <w:r>
              <w:rPr>
                <w:b/>
                <w:color w:val="FFFFFF"/>
                <w:sz w:val="16"/>
              </w:rPr>
              <w:t>Company Structure</w:t>
            </w:r>
          </w:p>
        </w:tc>
        <w:tc>
          <w:tcPr>
            <w:tcW w:type="dxa" w:w="1440"/>
            <w:vAlign w:val="top"/>
            <w:shd w:fill="1F4E79"/>
          </w:tcPr>
          <w:p>
            <w:pPr>
              <w:spacing w:after="0"/>
            </w:pPr>
            <w:r>
              <w:rPr>
                <w:b/>
                <w:color w:val="FFFFFF"/>
                <w:sz w:val="16"/>
              </w:rPr>
            </w:r>
            <w:r>
              <w:rPr>
                <w:b/>
                <w:color w:val="FFFFFF"/>
                <w:sz w:val="16"/>
              </w:rPr>
              <w:t>Holding Company?</w:t>
            </w:r>
          </w:p>
        </w:tc>
        <w:tc>
          <w:tcPr>
            <w:tcW w:type="dxa" w:w="2880"/>
            <w:vAlign w:val="top"/>
            <w:shd w:fill="1F4E79"/>
          </w:tcPr>
          <w:p>
            <w:pPr>
              <w:spacing w:after="0"/>
            </w:pPr>
            <w:r>
              <w:rPr>
                <w:b/>
                <w:color w:val="FFFFFF"/>
                <w:sz w:val="16"/>
              </w:rPr>
            </w:r>
            <w:r>
              <w:rPr>
                <w:b/>
                <w:color w:val="FFFFFF"/>
                <w:sz w:val="16"/>
              </w:rPr>
              <w:t>Holding Company</w:t>
            </w:r>
          </w:p>
        </w:tc>
        <w:tc>
          <w:tcPr>
            <w:tcW w:type="dxa" w:w="3168"/>
            <w:vAlign w:val="top"/>
            <w:shd w:fill="1F4E79"/>
          </w:tcPr>
          <w:p>
            <w:pPr>
              <w:spacing w:after="0"/>
            </w:pPr>
            <w:r>
              <w:rPr>
                <w:b/>
                <w:color w:val="FFFFFF"/>
                <w:sz w:val="16"/>
              </w:rPr>
            </w:r>
            <w:r>
              <w:rPr>
                <w:b/>
                <w:color w:val="FFFFFF"/>
                <w:sz w:val="16"/>
              </w:rPr>
              <w:t>Key Operating Company</w:t>
            </w:r>
          </w:p>
        </w:tc>
        <w:tc>
          <w:tcPr>
            <w:tcW w:type="dxa" w:w="4320"/>
            <w:vAlign w:val="top"/>
            <w:shd w:fill="1F4E79"/>
          </w:tcPr>
          <w:p>
            <w:pPr>
              <w:spacing w:after="0"/>
            </w:pPr>
            <w:r>
              <w:rPr>
                <w:b/>
                <w:color w:val="FFFFFF"/>
                <w:sz w:val="16"/>
              </w:rPr>
            </w:r>
            <w:r>
              <w:rPr>
                <w:b/>
                <w:color w:val="FFFFFF"/>
                <w:sz w:val="16"/>
              </w:rPr>
              <w:t>Credit Relevance</w:t>
            </w:r>
          </w:p>
        </w:tc>
      </w:tr>
      <w:tr>
        <w:tc>
          <w:tcPr>
            <w:tcW w:type="dxa" w:w="2016"/>
            <w:vAlign w:val="top"/>
          </w:tcPr>
          <w:p>
            <w:pPr>
              <w:spacing w:after="0"/>
            </w:pPr>
            <w:r>
              <w:rPr>
                <w:sz w:val="16"/>
              </w:rPr>
            </w:r>
            <w:r>
              <w:rPr>
                <w:b w:val="0"/>
                <w:sz w:val="16"/>
              </w:rPr>
              <w:t>Nippon Life</w:t>
            </w:r>
          </w:p>
        </w:tc>
        <w:tc>
          <w:tcPr>
            <w:tcW w:type="dxa" w:w="2160"/>
            <w:vAlign w:val="top"/>
          </w:tcPr>
          <w:p>
            <w:pPr>
              <w:spacing w:after="0"/>
            </w:pPr>
            <w:r>
              <w:rPr>
                <w:sz w:val="16"/>
              </w:rPr>
            </w:r>
            <w:r>
              <w:rPr>
                <w:b w:val="0"/>
                <w:sz w:val="16"/>
              </w:rPr>
              <w:t>Mutual company</w:t>
            </w:r>
          </w:p>
        </w:tc>
        <w:tc>
          <w:tcPr>
            <w:tcW w:type="dxa" w:w="1440"/>
            <w:vAlign w:val="top"/>
          </w:tcPr>
          <w:p>
            <w:pPr>
              <w:spacing w:after="0"/>
            </w:pPr>
            <w:r>
              <w:rPr>
                <w:sz w:val="16"/>
              </w:rPr>
            </w:r>
            <w:r>
              <w:rPr>
                <w:b w:val="0"/>
                <w:sz w:val="16"/>
              </w:rPr>
              <w:t>No</w:t>
            </w:r>
          </w:p>
        </w:tc>
        <w:tc>
          <w:tcPr>
            <w:tcW w:type="dxa" w:w="2880"/>
            <w:vAlign w:val="top"/>
          </w:tcPr>
          <w:p>
            <w:pPr>
              <w:spacing w:after="0"/>
            </w:pPr>
            <w:r>
              <w:rPr>
                <w:sz w:val="16"/>
              </w:rPr>
            </w:r>
            <w:r>
              <w:rPr>
                <w:b w:val="0"/>
                <w:sz w:val="16"/>
              </w:rPr>
              <w:t>N.A.</w:t>
            </w:r>
          </w:p>
        </w:tc>
        <w:tc>
          <w:tcPr>
            <w:tcW w:type="dxa" w:w="3168"/>
            <w:vAlign w:val="top"/>
          </w:tcPr>
          <w:p>
            <w:pPr>
              <w:spacing w:after="0"/>
            </w:pPr>
            <w:r>
              <w:rPr>
                <w:sz w:val="16"/>
              </w:rPr>
            </w:r>
            <w:r>
              <w:rPr>
                <w:b w:val="0"/>
                <w:sz w:val="16"/>
              </w:rPr>
              <w:t>Nippon Life Insurance Co.</w:t>
            </w:r>
          </w:p>
        </w:tc>
        <w:tc>
          <w:tcPr>
            <w:tcW w:type="dxa" w:w="4320"/>
            <w:vAlign w:val="top"/>
          </w:tcPr>
          <w:p>
            <w:pPr>
              <w:spacing w:after="0"/>
            </w:pPr>
            <w:r>
              <w:rPr>
                <w:sz w:val="16"/>
              </w:rPr>
            </w:r>
            <w:r>
              <w:rPr>
                <w:b w:val="0"/>
                <w:sz w:val="16"/>
              </w:rPr>
              <w:t>OpCo and group parent are the same legal entity.</w:t>
            </w:r>
          </w:p>
        </w:tc>
      </w:tr>
      <w:tr>
        <w:tc>
          <w:tcPr>
            <w:tcW w:type="dxa" w:w="2016"/>
            <w:vAlign w:val="top"/>
          </w:tcPr>
          <w:p>
            <w:pPr>
              <w:spacing w:after="0"/>
            </w:pPr>
            <w:r>
              <w:rPr>
                <w:sz w:val="16"/>
              </w:rPr>
            </w:r>
            <w:r>
              <w:rPr>
                <w:b w:val="0"/>
                <w:sz w:val="16"/>
              </w:rPr>
              <w:t>Meiji Yasuda Life</w:t>
            </w:r>
          </w:p>
        </w:tc>
        <w:tc>
          <w:tcPr>
            <w:tcW w:type="dxa" w:w="2160"/>
            <w:vAlign w:val="top"/>
          </w:tcPr>
          <w:p>
            <w:pPr>
              <w:spacing w:after="0"/>
            </w:pPr>
            <w:r>
              <w:rPr>
                <w:sz w:val="16"/>
              </w:rPr>
            </w:r>
            <w:r>
              <w:rPr>
                <w:b w:val="0"/>
                <w:sz w:val="16"/>
              </w:rPr>
              <w:t>Mutual company</w:t>
            </w:r>
          </w:p>
        </w:tc>
        <w:tc>
          <w:tcPr>
            <w:tcW w:type="dxa" w:w="1440"/>
            <w:vAlign w:val="top"/>
          </w:tcPr>
          <w:p>
            <w:pPr>
              <w:spacing w:after="0"/>
            </w:pPr>
            <w:r>
              <w:rPr>
                <w:sz w:val="16"/>
              </w:rPr>
            </w:r>
            <w:r>
              <w:rPr>
                <w:b w:val="0"/>
                <w:sz w:val="16"/>
              </w:rPr>
              <w:t>No</w:t>
            </w:r>
          </w:p>
        </w:tc>
        <w:tc>
          <w:tcPr>
            <w:tcW w:type="dxa" w:w="2880"/>
            <w:vAlign w:val="top"/>
          </w:tcPr>
          <w:p>
            <w:pPr>
              <w:spacing w:after="0"/>
            </w:pPr>
            <w:r>
              <w:rPr>
                <w:sz w:val="16"/>
              </w:rPr>
            </w:r>
            <w:r>
              <w:rPr>
                <w:b w:val="0"/>
                <w:sz w:val="16"/>
              </w:rPr>
              <w:t>N.A.</w:t>
            </w:r>
          </w:p>
        </w:tc>
        <w:tc>
          <w:tcPr>
            <w:tcW w:type="dxa" w:w="3168"/>
            <w:vAlign w:val="top"/>
          </w:tcPr>
          <w:p>
            <w:pPr>
              <w:spacing w:after="0"/>
            </w:pPr>
            <w:r>
              <w:rPr>
                <w:sz w:val="16"/>
              </w:rPr>
            </w:r>
            <w:r>
              <w:rPr>
                <w:b w:val="0"/>
                <w:sz w:val="16"/>
              </w:rPr>
              <w:t>Meiji Yasuda Life Insurance Co.</w:t>
            </w:r>
          </w:p>
        </w:tc>
        <w:tc>
          <w:tcPr>
            <w:tcW w:type="dxa" w:w="4320"/>
            <w:vAlign w:val="top"/>
          </w:tcPr>
          <w:p>
            <w:pPr>
              <w:spacing w:after="0"/>
            </w:pPr>
            <w:r>
              <w:rPr>
                <w:sz w:val="16"/>
              </w:rPr>
            </w:r>
            <w:r>
              <w:rPr>
                <w:b w:val="0"/>
                <w:sz w:val="16"/>
              </w:rPr>
              <w:t>OpCo and group parent are the same legal entity.</w:t>
            </w:r>
          </w:p>
        </w:tc>
      </w:tr>
      <w:tr>
        <w:tc>
          <w:tcPr>
            <w:tcW w:type="dxa" w:w="2016"/>
            <w:vAlign w:val="top"/>
          </w:tcPr>
          <w:p>
            <w:pPr>
              <w:spacing w:after="0"/>
            </w:pPr>
            <w:r>
              <w:rPr>
                <w:sz w:val="16"/>
              </w:rPr>
            </w:r>
            <w:r>
              <w:rPr>
                <w:b w:val="0"/>
                <w:sz w:val="16"/>
              </w:rPr>
              <w:t>Dai-ichi Life</w:t>
            </w:r>
          </w:p>
        </w:tc>
        <w:tc>
          <w:tcPr>
            <w:tcW w:type="dxa" w:w="2160"/>
            <w:vAlign w:val="top"/>
          </w:tcPr>
          <w:p>
            <w:pPr>
              <w:spacing w:after="0"/>
            </w:pPr>
            <w:r>
              <w:rPr>
                <w:sz w:val="16"/>
              </w:rPr>
            </w:r>
            <w:r>
              <w:rPr>
                <w:b w:val="0"/>
                <w:sz w:val="16"/>
              </w:rPr>
              <w:t>Holding company structure</w:t>
            </w:r>
          </w:p>
        </w:tc>
        <w:tc>
          <w:tcPr>
            <w:tcW w:type="dxa" w:w="1440"/>
            <w:vAlign w:val="top"/>
          </w:tcPr>
          <w:p>
            <w:pPr>
              <w:spacing w:after="0"/>
            </w:pPr>
            <w:r>
              <w:rPr>
                <w:sz w:val="16"/>
              </w:rPr>
            </w:r>
            <w:r>
              <w:rPr>
                <w:b w:val="0"/>
                <w:sz w:val="16"/>
              </w:rPr>
              <w:t>Yes</w:t>
            </w:r>
          </w:p>
        </w:tc>
        <w:tc>
          <w:tcPr>
            <w:tcW w:type="dxa" w:w="2880"/>
            <w:vAlign w:val="top"/>
          </w:tcPr>
          <w:p>
            <w:pPr>
              <w:spacing w:after="0"/>
            </w:pPr>
            <w:r>
              <w:rPr>
                <w:sz w:val="16"/>
              </w:rPr>
            </w:r>
            <w:r>
              <w:rPr>
                <w:b w:val="0"/>
                <w:sz w:val="16"/>
              </w:rPr>
              <w:t>Dai-ichi Life Holdings</w:t>
            </w:r>
          </w:p>
        </w:tc>
        <w:tc>
          <w:tcPr>
            <w:tcW w:type="dxa" w:w="3168"/>
            <w:vAlign w:val="top"/>
          </w:tcPr>
          <w:p>
            <w:pPr>
              <w:spacing w:after="0"/>
            </w:pPr>
            <w:r>
              <w:rPr>
                <w:sz w:val="16"/>
              </w:rPr>
            </w:r>
            <w:r>
              <w:rPr>
                <w:b w:val="0"/>
                <w:sz w:val="16"/>
              </w:rPr>
              <w:t>Dai-ichi Life Insurance Co.</w:t>
            </w:r>
          </w:p>
        </w:tc>
        <w:tc>
          <w:tcPr>
            <w:tcW w:type="dxa" w:w="4320"/>
            <w:vAlign w:val="top"/>
          </w:tcPr>
          <w:p>
            <w:pPr>
              <w:spacing w:after="0"/>
            </w:pPr>
            <w:r>
              <w:rPr>
                <w:sz w:val="16"/>
              </w:rPr>
            </w:r>
            <w:r>
              <w:rPr>
                <w:b w:val="0"/>
                <w:sz w:val="16"/>
              </w:rPr>
              <w:t>Separate OpCo and HoldCo credit profiles.</w:t>
            </w:r>
          </w:p>
        </w:tc>
      </w:tr>
      <w:tr>
        <w:tc>
          <w:tcPr>
            <w:tcW w:type="dxa" w:w="2016"/>
            <w:vAlign w:val="top"/>
          </w:tcPr>
          <w:p>
            <w:pPr>
              <w:spacing w:after="0"/>
            </w:pPr>
            <w:r>
              <w:rPr>
                <w:sz w:val="16"/>
              </w:rPr>
            </w:r>
            <w:r>
              <w:rPr>
                <w:b w:val="0"/>
                <w:sz w:val="16"/>
              </w:rPr>
              <w:t>Sumitomo Life</w:t>
            </w:r>
          </w:p>
        </w:tc>
        <w:tc>
          <w:tcPr>
            <w:tcW w:type="dxa" w:w="2160"/>
            <w:vAlign w:val="top"/>
          </w:tcPr>
          <w:p>
            <w:pPr>
              <w:spacing w:after="0"/>
            </w:pPr>
            <w:r>
              <w:rPr>
                <w:sz w:val="16"/>
              </w:rPr>
            </w:r>
            <w:r>
              <w:rPr>
                <w:b w:val="0"/>
                <w:sz w:val="16"/>
              </w:rPr>
              <w:t>Mutual company</w:t>
            </w:r>
          </w:p>
        </w:tc>
        <w:tc>
          <w:tcPr>
            <w:tcW w:type="dxa" w:w="1440"/>
            <w:vAlign w:val="top"/>
          </w:tcPr>
          <w:p>
            <w:pPr>
              <w:spacing w:after="0"/>
            </w:pPr>
            <w:r>
              <w:rPr>
                <w:sz w:val="16"/>
              </w:rPr>
            </w:r>
            <w:r>
              <w:rPr>
                <w:b w:val="0"/>
                <w:sz w:val="16"/>
              </w:rPr>
              <w:t>No</w:t>
            </w:r>
          </w:p>
        </w:tc>
        <w:tc>
          <w:tcPr>
            <w:tcW w:type="dxa" w:w="2880"/>
            <w:vAlign w:val="top"/>
          </w:tcPr>
          <w:p>
            <w:pPr>
              <w:spacing w:after="0"/>
            </w:pPr>
            <w:r>
              <w:rPr>
                <w:sz w:val="16"/>
              </w:rPr>
            </w:r>
            <w:r>
              <w:rPr>
                <w:b w:val="0"/>
                <w:sz w:val="16"/>
              </w:rPr>
              <w:t>N.A.</w:t>
            </w:r>
          </w:p>
        </w:tc>
        <w:tc>
          <w:tcPr>
            <w:tcW w:type="dxa" w:w="3168"/>
            <w:vAlign w:val="top"/>
          </w:tcPr>
          <w:p>
            <w:pPr>
              <w:spacing w:after="0"/>
            </w:pPr>
            <w:r>
              <w:rPr>
                <w:sz w:val="16"/>
              </w:rPr>
            </w:r>
            <w:r>
              <w:rPr>
                <w:b w:val="0"/>
                <w:sz w:val="16"/>
              </w:rPr>
              <w:t>Sumitomo Life Insurance Co.</w:t>
            </w:r>
          </w:p>
        </w:tc>
        <w:tc>
          <w:tcPr>
            <w:tcW w:type="dxa" w:w="4320"/>
            <w:vAlign w:val="top"/>
          </w:tcPr>
          <w:p>
            <w:pPr>
              <w:spacing w:after="0"/>
            </w:pPr>
            <w:r>
              <w:rPr>
                <w:sz w:val="16"/>
              </w:rPr>
            </w:r>
            <w:r>
              <w:rPr>
                <w:b w:val="0"/>
                <w:sz w:val="16"/>
              </w:rPr>
              <w:t>OpCo and group parent are the same legal entity.</w:t>
            </w:r>
          </w:p>
        </w:tc>
      </w:tr>
      <w:tr>
        <w:tc>
          <w:tcPr>
            <w:tcW w:type="dxa" w:w="2016"/>
            <w:vAlign w:val="top"/>
          </w:tcPr>
          <w:p>
            <w:pPr>
              <w:spacing w:after="0"/>
            </w:pPr>
            <w:r>
              <w:rPr>
                <w:sz w:val="16"/>
              </w:rPr>
            </w:r>
            <w:r>
              <w:rPr>
                <w:b w:val="0"/>
                <w:sz w:val="16"/>
              </w:rPr>
              <w:t>Fukoku Life</w:t>
            </w:r>
          </w:p>
        </w:tc>
        <w:tc>
          <w:tcPr>
            <w:tcW w:type="dxa" w:w="2160"/>
            <w:vAlign w:val="top"/>
          </w:tcPr>
          <w:p>
            <w:pPr>
              <w:spacing w:after="0"/>
            </w:pPr>
            <w:r>
              <w:rPr>
                <w:sz w:val="16"/>
              </w:rPr>
            </w:r>
            <w:r>
              <w:rPr>
                <w:b w:val="0"/>
                <w:sz w:val="16"/>
              </w:rPr>
              <w:t>Mutual company</w:t>
            </w:r>
          </w:p>
        </w:tc>
        <w:tc>
          <w:tcPr>
            <w:tcW w:type="dxa" w:w="1440"/>
            <w:vAlign w:val="top"/>
          </w:tcPr>
          <w:p>
            <w:pPr>
              <w:spacing w:after="0"/>
            </w:pPr>
            <w:r>
              <w:rPr>
                <w:sz w:val="16"/>
              </w:rPr>
            </w:r>
            <w:r>
              <w:rPr>
                <w:b w:val="0"/>
                <w:sz w:val="16"/>
              </w:rPr>
              <w:t>No</w:t>
            </w:r>
          </w:p>
        </w:tc>
        <w:tc>
          <w:tcPr>
            <w:tcW w:type="dxa" w:w="2880"/>
            <w:vAlign w:val="top"/>
          </w:tcPr>
          <w:p>
            <w:pPr>
              <w:spacing w:after="0"/>
            </w:pPr>
            <w:r>
              <w:rPr>
                <w:sz w:val="16"/>
              </w:rPr>
            </w:r>
            <w:r>
              <w:rPr>
                <w:b w:val="0"/>
                <w:sz w:val="16"/>
              </w:rPr>
              <w:t>N.A.</w:t>
            </w:r>
          </w:p>
        </w:tc>
        <w:tc>
          <w:tcPr>
            <w:tcW w:type="dxa" w:w="3168"/>
            <w:vAlign w:val="top"/>
          </w:tcPr>
          <w:p>
            <w:pPr>
              <w:spacing w:after="0"/>
            </w:pPr>
            <w:r>
              <w:rPr>
                <w:sz w:val="16"/>
              </w:rPr>
            </w:r>
            <w:r>
              <w:rPr>
                <w:b w:val="0"/>
                <w:sz w:val="16"/>
              </w:rPr>
              <w:t>Fukoku Mutual Life Insurance Co.</w:t>
            </w:r>
          </w:p>
        </w:tc>
        <w:tc>
          <w:tcPr>
            <w:tcW w:type="dxa" w:w="4320"/>
            <w:vAlign w:val="top"/>
          </w:tcPr>
          <w:p>
            <w:pPr>
              <w:spacing w:after="0"/>
            </w:pPr>
            <w:r>
              <w:rPr>
                <w:sz w:val="16"/>
              </w:rPr>
            </w:r>
            <w:r>
              <w:rPr>
                <w:b w:val="0"/>
                <w:sz w:val="16"/>
              </w:rPr>
              <w:t>OpCo and group parent are the same legal entity.</w:t>
            </w:r>
          </w:p>
        </w:tc>
      </w:tr>
      <w:tr>
        <w:tc>
          <w:tcPr>
            <w:tcW w:type="dxa" w:w="2016"/>
            <w:vAlign w:val="top"/>
          </w:tcPr>
          <w:p>
            <w:pPr>
              <w:spacing w:after="0"/>
            </w:pPr>
            <w:r>
              <w:rPr>
                <w:sz w:val="16"/>
              </w:rPr>
            </w:r>
            <w:r>
              <w:rPr>
                <w:b w:val="0"/>
                <w:sz w:val="16"/>
              </w:rPr>
              <w:t>Asahi Life</w:t>
            </w:r>
          </w:p>
        </w:tc>
        <w:tc>
          <w:tcPr>
            <w:tcW w:type="dxa" w:w="2160"/>
            <w:vAlign w:val="top"/>
          </w:tcPr>
          <w:p>
            <w:pPr>
              <w:spacing w:after="0"/>
            </w:pPr>
            <w:r>
              <w:rPr>
                <w:sz w:val="16"/>
              </w:rPr>
            </w:r>
            <w:r>
              <w:rPr>
                <w:b w:val="0"/>
                <w:sz w:val="16"/>
              </w:rPr>
              <w:t>Mutual company</w:t>
            </w:r>
          </w:p>
        </w:tc>
        <w:tc>
          <w:tcPr>
            <w:tcW w:type="dxa" w:w="1440"/>
            <w:vAlign w:val="top"/>
          </w:tcPr>
          <w:p>
            <w:pPr>
              <w:spacing w:after="0"/>
            </w:pPr>
            <w:r>
              <w:rPr>
                <w:sz w:val="16"/>
              </w:rPr>
            </w:r>
            <w:r>
              <w:rPr>
                <w:b w:val="0"/>
                <w:sz w:val="16"/>
              </w:rPr>
              <w:t>No</w:t>
            </w:r>
          </w:p>
        </w:tc>
        <w:tc>
          <w:tcPr>
            <w:tcW w:type="dxa" w:w="2880"/>
            <w:vAlign w:val="top"/>
          </w:tcPr>
          <w:p>
            <w:pPr>
              <w:spacing w:after="0"/>
            </w:pPr>
            <w:r>
              <w:rPr>
                <w:sz w:val="16"/>
              </w:rPr>
            </w:r>
            <w:r>
              <w:rPr>
                <w:b w:val="0"/>
                <w:sz w:val="16"/>
              </w:rPr>
              <w:t>N.A.</w:t>
            </w:r>
          </w:p>
        </w:tc>
        <w:tc>
          <w:tcPr>
            <w:tcW w:type="dxa" w:w="3168"/>
            <w:vAlign w:val="top"/>
          </w:tcPr>
          <w:p>
            <w:pPr>
              <w:spacing w:after="0"/>
            </w:pPr>
            <w:r>
              <w:rPr>
                <w:sz w:val="16"/>
              </w:rPr>
            </w:r>
            <w:r>
              <w:rPr>
                <w:b w:val="0"/>
                <w:sz w:val="16"/>
              </w:rPr>
              <w:t>Asahi Mutual Life Insurance Co.</w:t>
            </w:r>
          </w:p>
        </w:tc>
        <w:tc>
          <w:tcPr>
            <w:tcW w:type="dxa" w:w="4320"/>
            <w:vAlign w:val="top"/>
          </w:tcPr>
          <w:p>
            <w:pPr>
              <w:spacing w:after="0"/>
            </w:pPr>
            <w:r>
              <w:rPr>
                <w:sz w:val="16"/>
              </w:rPr>
            </w:r>
            <w:r>
              <w:rPr>
                <w:b w:val="0"/>
                <w:sz w:val="16"/>
              </w:rPr>
              <w:t>OpCo and group parent are the same legal entity.</w:t>
            </w:r>
          </w:p>
        </w:tc>
      </w:tr>
      <w:tr>
        <w:tc>
          <w:tcPr>
            <w:tcW w:type="dxa" w:w="2016"/>
            <w:vAlign w:val="top"/>
          </w:tcPr>
          <w:p>
            <w:pPr>
              <w:spacing w:after="0"/>
            </w:pPr>
            <w:r>
              <w:rPr>
                <w:sz w:val="16"/>
              </w:rPr>
            </w:r>
            <w:r>
              <w:rPr>
                <w:b w:val="0"/>
                <w:sz w:val="16"/>
              </w:rPr>
              <w:t>Sompo</w:t>
            </w:r>
          </w:p>
        </w:tc>
        <w:tc>
          <w:tcPr>
            <w:tcW w:type="dxa" w:w="2160"/>
            <w:vAlign w:val="top"/>
          </w:tcPr>
          <w:p>
            <w:pPr>
              <w:spacing w:after="0"/>
            </w:pPr>
            <w:r>
              <w:rPr>
                <w:sz w:val="16"/>
              </w:rPr>
            </w:r>
            <w:r>
              <w:rPr>
                <w:b w:val="0"/>
                <w:sz w:val="16"/>
              </w:rPr>
              <w:t>Listed HoldCo</w:t>
            </w:r>
          </w:p>
        </w:tc>
        <w:tc>
          <w:tcPr>
            <w:tcW w:type="dxa" w:w="1440"/>
            <w:vAlign w:val="top"/>
          </w:tcPr>
          <w:p>
            <w:pPr>
              <w:spacing w:after="0"/>
            </w:pPr>
            <w:r>
              <w:rPr>
                <w:sz w:val="16"/>
              </w:rPr>
            </w:r>
            <w:r>
              <w:rPr>
                <w:b w:val="0"/>
                <w:sz w:val="16"/>
              </w:rPr>
              <w:t>Yes</w:t>
            </w:r>
          </w:p>
        </w:tc>
        <w:tc>
          <w:tcPr>
            <w:tcW w:type="dxa" w:w="2880"/>
            <w:vAlign w:val="top"/>
          </w:tcPr>
          <w:p>
            <w:pPr>
              <w:spacing w:after="0"/>
            </w:pPr>
            <w:r>
              <w:rPr>
                <w:sz w:val="16"/>
              </w:rPr>
            </w:r>
            <w:r>
              <w:rPr>
                <w:b w:val="0"/>
                <w:sz w:val="16"/>
              </w:rPr>
              <w:t>Sompo Holdings</w:t>
            </w:r>
          </w:p>
        </w:tc>
        <w:tc>
          <w:tcPr>
            <w:tcW w:type="dxa" w:w="3168"/>
            <w:vAlign w:val="top"/>
          </w:tcPr>
          <w:p>
            <w:pPr>
              <w:spacing w:after="0"/>
            </w:pPr>
            <w:r>
              <w:rPr>
                <w:sz w:val="16"/>
              </w:rPr>
            </w:r>
            <w:r>
              <w:rPr>
                <w:b w:val="0"/>
                <w:sz w:val="16"/>
              </w:rPr>
              <w:t>Sompo Japan Insurance</w:t>
            </w:r>
          </w:p>
        </w:tc>
        <w:tc>
          <w:tcPr>
            <w:tcW w:type="dxa" w:w="4320"/>
            <w:vAlign w:val="top"/>
          </w:tcPr>
          <w:p>
            <w:pPr>
              <w:spacing w:after="0"/>
            </w:pPr>
            <w:r>
              <w:rPr>
                <w:sz w:val="16"/>
              </w:rPr>
            </w:r>
            <w:r>
              <w:rPr>
                <w:b w:val="0"/>
                <w:sz w:val="16"/>
              </w:rPr>
              <w:t>HoldCo creditors are structurally subordinated to OpCo creditors.</w:t>
            </w:r>
          </w:p>
        </w:tc>
      </w:tr>
      <w:tr>
        <w:tc>
          <w:tcPr>
            <w:tcW w:type="dxa" w:w="2016"/>
            <w:vAlign w:val="top"/>
          </w:tcPr>
          <w:p>
            <w:pPr>
              <w:spacing w:after="0"/>
            </w:pPr>
            <w:r>
              <w:rPr>
                <w:sz w:val="16"/>
              </w:rPr>
            </w:r>
            <w:r>
              <w:rPr>
                <w:b w:val="0"/>
                <w:sz w:val="16"/>
              </w:rPr>
              <w:t>MS&amp;AD</w:t>
            </w:r>
          </w:p>
        </w:tc>
        <w:tc>
          <w:tcPr>
            <w:tcW w:type="dxa" w:w="2160"/>
            <w:vAlign w:val="top"/>
          </w:tcPr>
          <w:p>
            <w:pPr>
              <w:spacing w:after="0"/>
            </w:pPr>
            <w:r>
              <w:rPr>
                <w:sz w:val="16"/>
              </w:rPr>
            </w:r>
            <w:r>
              <w:rPr>
                <w:b w:val="0"/>
                <w:sz w:val="16"/>
              </w:rPr>
              <w:t>Listed HoldCo</w:t>
            </w:r>
          </w:p>
        </w:tc>
        <w:tc>
          <w:tcPr>
            <w:tcW w:type="dxa" w:w="1440"/>
            <w:vAlign w:val="top"/>
          </w:tcPr>
          <w:p>
            <w:pPr>
              <w:spacing w:after="0"/>
            </w:pPr>
            <w:r>
              <w:rPr>
                <w:sz w:val="16"/>
              </w:rPr>
            </w:r>
            <w:r>
              <w:rPr>
                <w:b w:val="0"/>
                <w:sz w:val="16"/>
              </w:rPr>
              <w:t>Yes</w:t>
            </w:r>
          </w:p>
        </w:tc>
        <w:tc>
          <w:tcPr>
            <w:tcW w:type="dxa" w:w="2880"/>
            <w:vAlign w:val="top"/>
          </w:tcPr>
          <w:p>
            <w:pPr>
              <w:spacing w:after="0"/>
            </w:pPr>
            <w:r>
              <w:rPr>
                <w:sz w:val="16"/>
              </w:rPr>
            </w:r>
            <w:r>
              <w:rPr>
                <w:b w:val="0"/>
                <w:sz w:val="16"/>
              </w:rPr>
              <w:t>MS&amp;AD Insurance Group Holdings</w:t>
            </w:r>
          </w:p>
        </w:tc>
        <w:tc>
          <w:tcPr>
            <w:tcW w:type="dxa" w:w="3168"/>
            <w:vAlign w:val="top"/>
          </w:tcPr>
          <w:p>
            <w:pPr>
              <w:spacing w:after="0"/>
            </w:pPr>
            <w:r>
              <w:rPr>
                <w:sz w:val="16"/>
              </w:rPr>
            </w:r>
            <w:r>
              <w:rPr>
                <w:b w:val="0"/>
                <w:sz w:val="16"/>
              </w:rPr>
              <w:t>Mitsui Sumitomo Insurance</w:t>
            </w:r>
          </w:p>
        </w:tc>
        <w:tc>
          <w:tcPr>
            <w:tcW w:type="dxa" w:w="4320"/>
            <w:vAlign w:val="top"/>
          </w:tcPr>
          <w:p>
            <w:pPr>
              <w:spacing w:after="0"/>
            </w:pPr>
            <w:r>
              <w:rPr>
                <w:sz w:val="16"/>
              </w:rPr>
            </w:r>
            <w:r>
              <w:rPr>
                <w:b w:val="0"/>
                <w:sz w:val="16"/>
              </w:rPr>
              <w:t>MSINS OpCo paper is structurally cleaner.</w:t>
            </w:r>
          </w:p>
        </w:tc>
      </w:tr>
      <w:tr>
        <w:tc>
          <w:tcPr>
            <w:tcW w:type="dxa" w:w="2016"/>
            <w:vAlign w:val="top"/>
          </w:tcPr>
          <w:p>
            <w:pPr>
              <w:spacing w:after="0"/>
            </w:pPr>
            <w:r>
              <w:rPr>
                <w:sz w:val="16"/>
              </w:rPr>
            </w:r>
            <w:r>
              <w:rPr>
                <w:b w:val="0"/>
                <w:sz w:val="16"/>
              </w:rPr>
              <w:t>Tokio Marine</w:t>
            </w:r>
          </w:p>
        </w:tc>
        <w:tc>
          <w:tcPr>
            <w:tcW w:type="dxa" w:w="2160"/>
            <w:vAlign w:val="top"/>
          </w:tcPr>
          <w:p>
            <w:pPr>
              <w:spacing w:after="0"/>
            </w:pPr>
            <w:r>
              <w:rPr>
                <w:sz w:val="16"/>
              </w:rPr>
            </w:r>
            <w:r>
              <w:rPr>
                <w:b w:val="0"/>
                <w:sz w:val="16"/>
              </w:rPr>
              <w:t>Listed HoldCo</w:t>
            </w:r>
          </w:p>
        </w:tc>
        <w:tc>
          <w:tcPr>
            <w:tcW w:type="dxa" w:w="1440"/>
            <w:vAlign w:val="top"/>
          </w:tcPr>
          <w:p>
            <w:pPr>
              <w:spacing w:after="0"/>
            </w:pPr>
            <w:r>
              <w:rPr>
                <w:sz w:val="16"/>
              </w:rPr>
            </w:r>
            <w:r>
              <w:rPr>
                <w:b w:val="0"/>
                <w:sz w:val="16"/>
              </w:rPr>
              <w:t>Yes</w:t>
            </w:r>
          </w:p>
        </w:tc>
        <w:tc>
          <w:tcPr>
            <w:tcW w:type="dxa" w:w="2880"/>
            <w:vAlign w:val="top"/>
          </w:tcPr>
          <w:p>
            <w:pPr>
              <w:spacing w:after="0"/>
            </w:pPr>
            <w:r>
              <w:rPr>
                <w:sz w:val="16"/>
              </w:rPr>
            </w:r>
            <w:r>
              <w:rPr>
                <w:b w:val="0"/>
                <w:sz w:val="16"/>
              </w:rPr>
              <w:t>Tokio Marine Holdings</w:t>
            </w:r>
          </w:p>
        </w:tc>
        <w:tc>
          <w:tcPr>
            <w:tcW w:type="dxa" w:w="3168"/>
            <w:vAlign w:val="top"/>
          </w:tcPr>
          <w:p>
            <w:pPr>
              <w:spacing w:after="0"/>
            </w:pPr>
            <w:r>
              <w:rPr>
                <w:sz w:val="16"/>
              </w:rPr>
            </w:r>
            <w:r>
              <w:rPr>
                <w:b w:val="0"/>
                <w:sz w:val="16"/>
              </w:rPr>
              <w:t>Tokio Marine &amp; Nichido Fire Insurance</w:t>
            </w:r>
          </w:p>
        </w:tc>
        <w:tc>
          <w:tcPr>
            <w:tcW w:type="dxa" w:w="4320"/>
            <w:vAlign w:val="top"/>
          </w:tcPr>
          <w:p>
            <w:pPr>
              <w:spacing w:after="0"/>
            </w:pPr>
            <w:r>
              <w:rPr>
                <w:sz w:val="16"/>
              </w:rPr>
            </w:r>
            <w:r>
              <w:rPr>
                <w:b w:val="0"/>
                <w:sz w:val="16"/>
              </w:rPr>
              <w:t>No USD bond curve in this peer set.</w:t>
            </w:r>
          </w:p>
        </w:tc>
      </w:tr>
    </w:tbl>
    <w:p/>
    <w:p>
      <w:pPr>
        <w:sectPr>
          <w:footerReference w:type="default" r:id="rId12"/>
          <w:pgSz w:w="12240" w:h="15840" w:orient="landscape"/>
          <w:pgMar w:top="720" w:right="648" w:bottom="720" w:left="648" w:header="720" w:footer="720" w:gutter="0"/>
          <w:cols w:space="720"/>
          <w:docGrid w:linePitch="360"/>
        </w:sectPr>
      </w:pPr>
    </w:p>
    <w:p>
      <w:pPr>
        <w:pStyle w:val="Heading1"/>
      </w:pPr>
      <w:r>
        <w:t>Bond Structure</w:t>
      </w:r>
    </w:p>
    <w:p>
      <w:r>
        <w:t>Japanese life insurers mainly issue hybrid / subordinated debt for solvency capital purposes. Typical features include coupon deferral; long maturity or maturity extension; regulatory capital treatment; first-call dates with step-up; and potential extension risk if call is uneconomic or regulatory approval is not granted.</w:t>
      </w:r>
    </w:p>
    <w:p>
      <w:r>
        <w:t>For mutual life insurers such as Nippon, Meiji, Sumitomo and Fukoku, the issuer is usually the operating insurer itself. For HoldCo structures, bondholder risk depends heavily on whether the debt is issued at the OpCo or HoldCo level.</w:t>
      </w:r>
    </w:p>
    <w:p>
      <w:r>
        <w:t>Under Japan’s new solvency regime, HoldCo / OpCo structures can issue parent-level senior debt and downstream proceeds to the operating insurer in a form that qualifies as Tier 2 capital. This is relevant for Dai-ichi Life and P&amp;C groups, but not generally for mutual insurers like Nippon.</w:t>
      </w:r>
    </w:p>
    <w:p>
      <w:r>
        <w:t>These HoldCo senior qualifying Tier 2 notes have more limited loss absorption than traditional Japanese insurance hybrid debt. The main loss-absorption feature is typically principal / final coupon deferral at maturity if ESR falls below the regulatory threshold. Therefore, they sit between traditional hybrid and plain senior unsecured debt in terms of risk.</w:t>
      </w:r>
    </w:p>
    <w:p>
      <w:pPr>
        <w:sectPr>
          <w:footerReference w:type="default" r:id="rId13"/>
          <w:pgSz w:w="12240" w:h="15840" w:orient="landscape"/>
          <w:pgMar w:top="792" w:right="792" w:bottom="792" w:left="792" w:header="720" w:footer="720" w:gutter="0"/>
          <w:cols w:space="720"/>
          <w:docGrid w:linePitch="360"/>
        </w:sectPr>
      </w:pPr>
    </w:p>
    <w:p>
      <w:pPr>
        <w:pStyle w:val="Heading1"/>
      </w:pPr>
      <w:r>
        <w:t>Rating Overview</w:t>
      </w:r>
    </w:p>
    <w:p>
      <w:r>
        <w:t>Japan sovereign rating is Moody’s A1 / S&amp;P A+ / Fitch A. Selected Japanese life insurers can be rated above the sovereign by Moody’s and Fitch where standalone credit profiles justify it. Ratings remain supported by leading market positions, strong capitalization, stable earnings, and increasingly diversified overseas operations, though domestic concentration and JGB exposure remain constraints.</w:t>
      </w:r>
    </w:p>
    <w:tbl>
      <w:tblPr>
        <w:tblStyle w:val="TableGrid"/>
        <w:tblW w:type="auto" w:w="0"/>
        <w:jc w:val="center"/>
        <w:tblLook w:firstColumn="1" w:firstRow="1" w:lastColumn="0" w:lastRow="0" w:noHBand="0" w:noVBand="1" w:val="04A0"/>
      </w:tblPr>
      <w:tblGrid>
        <w:gridCol w:w="1483"/>
        <w:gridCol w:w="1483"/>
        <w:gridCol w:w="1483"/>
        <w:gridCol w:w="1483"/>
        <w:gridCol w:w="1483"/>
        <w:gridCol w:w="1483"/>
        <w:gridCol w:w="1483"/>
        <w:gridCol w:w="1483"/>
        <w:gridCol w:w="1483"/>
        <w:gridCol w:w="1483"/>
      </w:tblGrid>
      <w:tr>
        <w:trPr>
          <w:tblHeader w:val="true"/>
        </w:trPr>
        <w:tc>
          <w:tcPr>
            <w:tcW w:type="dxa" w:w="1152"/>
            <w:vAlign w:val="top"/>
            <w:shd w:fill="1F4E79"/>
          </w:tcPr>
          <w:p>
            <w:pPr>
              <w:spacing w:after="0"/>
            </w:pPr>
            <w:r>
              <w:rPr>
                <w:b/>
                <w:color w:val="FFFFFF"/>
                <w:sz w:val="16"/>
              </w:rPr>
            </w:r>
            <w:r>
              <w:rPr>
                <w:b/>
                <w:color w:val="FFFFFF"/>
                <w:sz w:val="16"/>
              </w:rPr>
              <w:t>Agency</w:t>
            </w:r>
          </w:p>
        </w:tc>
        <w:tc>
          <w:tcPr>
            <w:tcW w:type="dxa" w:w="2880"/>
            <w:vAlign w:val="top"/>
            <w:shd w:fill="1F4E79"/>
          </w:tcPr>
          <w:p>
            <w:pPr>
              <w:spacing w:after="0"/>
            </w:pPr>
            <w:r>
              <w:rPr>
                <w:b/>
                <w:color w:val="FFFFFF"/>
                <w:sz w:val="16"/>
              </w:rPr>
            </w:r>
            <w:r>
              <w:rPr>
                <w:b/>
                <w:color w:val="FFFFFF"/>
                <w:sz w:val="16"/>
              </w:rPr>
              <w:t>Metric</w:t>
            </w:r>
          </w:p>
        </w:tc>
        <w:tc>
          <w:tcPr>
            <w:tcW w:type="dxa" w:w="1152"/>
            <w:vAlign w:val="top"/>
            <w:shd w:fill="1F4E79"/>
          </w:tcPr>
          <w:p>
            <w:pPr>
              <w:spacing w:after="0"/>
            </w:pPr>
            <w:r>
              <w:rPr>
                <w:b/>
                <w:color w:val="FFFFFF"/>
                <w:sz w:val="16"/>
              </w:rPr>
            </w:r>
            <w:r>
              <w:rPr>
                <w:b/>
                <w:color w:val="FFFFFF"/>
                <w:sz w:val="16"/>
              </w:rPr>
              <w:t>NIPLIF</w:t>
            </w:r>
          </w:p>
        </w:tc>
        <w:tc>
          <w:tcPr>
            <w:tcW w:type="dxa" w:w="1152"/>
            <w:vAlign w:val="top"/>
            <w:shd w:fill="1F4E79"/>
          </w:tcPr>
          <w:p>
            <w:pPr>
              <w:spacing w:after="0"/>
            </w:pPr>
            <w:r>
              <w:rPr>
                <w:b/>
                <w:color w:val="FFFFFF"/>
                <w:sz w:val="16"/>
              </w:rPr>
            </w:r>
            <w:r>
              <w:rPr>
                <w:b/>
                <w:color w:val="FFFFFF"/>
                <w:sz w:val="16"/>
              </w:rPr>
              <w:t>DAIL</w:t>
            </w:r>
          </w:p>
        </w:tc>
        <w:tc>
          <w:tcPr>
            <w:tcW w:type="dxa" w:w="1152"/>
            <w:vAlign w:val="top"/>
            <w:shd w:fill="1F4E79"/>
          </w:tcPr>
          <w:p>
            <w:pPr>
              <w:spacing w:after="0"/>
            </w:pPr>
            <w:r>
              <w:rPr>
                <w:b/>
                <w:color w:val="FFFFFF"/>
                <w:sz w:val="16"/>
              </w:rPr>
            </w:r>
            <w:r>
              <w:rPr>
                <w:b/>
                <w:color w:val="FFFFFF"/>
                <w:sz w:val="16"/>
              </w:rPr>
              <w:t>MYLIFE</w:t>
            </w:r>
          </w:p>
        </w:tc>
        <w:tc>
          <w:tcPr>
            <w:tcW w:type="dxa" w:w="1152"/>
            <w:vAlign w:val="top"/>
            <w:shd w:fill="1F4E79"/>
          </w:tcPr>
          <w:p>
            <w:pPr>
              <w:spacing w:after="0"/>
            </w:pPr>
            <w:r>
              <w:rPr>
                <w:b/>
                <w:color w:val="FFFFFF"/>
                <w:sz w:val="16"/>
              </w:rPr>
            </w:r>
            <w:r>
              <w:rPr>
                <w:b/>
                <w:color w:val="FFFFFF"/>
                <w:sz w:val="16"/>
              </w:rPr>
              <w:t>SUMILF</w:t>
            </w:r>
          </w:p>
        </w:tc>
        <w:tc>
          <w:tcPr>
            <w:tcW w:type="dxa" w:w="1152"/>
            <w:vAlign w:val="top"/>
            <w:shd w:fill="1F4E79"/>
          </w:tcPr>
          <w:p>
            <w:pPr>
              <w:spacing w:after="0"/>
            </w:pPr>
            <w:r>
              <w:rPr>
                <w:b/>
                <w:color w:val="FFFFFF"/>
                <w:sz w:val="16"/>
              </w:rPr>
            </w:r>
            <w:r>
              <w:rPr>
                <w:b/>
                <w:color w:val="FFFFFF"/>
                <w:sz w:val="16"/>
              </w:rPr>
              <w:t>FUKOKU</w:t>
            </w:r>
          </w:p>
        </w:tc>
        <w:tc>
          <w:tcPr>
            <w:tcW w:type="dxa" w:w="1152"/>
            <w:vAlign w:val="top"/>
            <w:shd w:fill="1F4E79"/>
          </w:tcPr>
          <w:p>
            <w:pPr>
              <w:spacing w:after="0"/>
            </w:pPr>
            <w:r>
              <w:rPr>
                <w:b/>
                <w:color w:val="FFFFFF"/>
                <w:sz w:val="16"/>
              </w:rPr>
            </w:r>
            <w:r>
              <w:rPr>
                <w:b/>
                <w:color w:val="FFFFFF"/>
                <w:sz w:val="16"/>
              </w:rPr>
              <w:t>ASAMLI</w:t>
            </w:r>
          </w:p>
        </w:tc>
        <w:tc>
          <w:tcPr>
            <w:tcW w:type="dxa" w:w="1872"/>
            <w:vAlign w:val="top"/>
            <w:shd w:fill="1F4E79"/>
          </w:tcPr>
          <w:p>
            <w:pPr>
              <w:spacing w:after="0"/>
            </w:pPr>
            <w:r>
              <w:rPr>
                <w:b/>
                <w:color w:val="FFFFFF"/>
                <w:sz w:val="16"/>
              </w:rPr>
            </w:r>
            <w:r>
              <w:rPr>
                <w:b/>
                <w:color w:val="FFFFFF"/>
                <w:sz w:val="16"/>
              </w:rPr>
              <w:t>SMPHD</w:t>
            </w:r>
          </w:p>
        </w:tc>
        <w:tc>
          <w:tcPr>
            <w:tcW w:type="dxa" w:w="1872"/>
            <w:vAlign w:val="top"/>
            <w:shd w:fill="1F4E79"/>
          </w:tcPr>
          <w:p>
            <w:pPr>
              <w:spacing w:after="0"/>
            </w:pPr>
            <w:r>
              <w:rPr>
                <w:b/>
                <w:color w:val="FFFFFF"/>
                <w:sz w:val="16"/>
              </w:rPr>
            </w:r>
            <w:r>
              <w:rPr>
                <w:b/>
                <w:color w:val="FFFFFF"/>
                <w:sz w:val="16"/>
              </w:rPr>
              <w:t>MSINS</w:t>
            </w:r>
          </w:p>
        </w:tc>
      </w:tr>
      <w:tr>
        <w:tc>
          <w:tcPr>
            <w:tcW w:type="dxa" w:w="1152"/>
            <w:vAlign w:val="top"/>
          </w:tcPr>
          <w:p>
            <w:pPr>
              <w:spacing w:after="0"/>
            </w:pPr>
            <w:r>
              <w:rPr>
                <w:sz w:val="16"/>
              </w:rPr>
            </w:r>
            <w:r>
              <w:rPr>
                <w:b w:val="0"/>
                <w:sz w:val="16"/>
              </w:rPr>
              <w:t>Moody’s</w:t>
            </w:r>
          </w:p>
        </w:tc>
        <w:tc>
          <w:tcPr>
            <w:tcW w:type="dxa" w:w="2880"/>
            <w:vAlign w:val="top"/>
          </w:tcPr>
          <w:p>
            <w:pPr>
              <w:spacing w:after="0"/>
            </w:pPr>
            <w:r>
              <w:rPr>
                <w:sz w:val="16"/>
              </w:rPr>
            </w:r>
            <w:r>
              <w:rPr>
                <w:b w:val="0"/>
                <w:sz w:val="16"/>
              </w:rPr>
              <w:t>Long-term rating / IFSR</w:t>
            </w:r>
          </w:p>
        </w:tc>
        <w:tc>
          <w:tcPr>
            <w:tcW w:type="dxa" w:w="1152"/>
            <w:vAlign w:val="top"/>
          </w:tcPr>
          <w:p>
            <w:pPr>
              <w:spacing w:after="0"/>
            </w:pPr>
            <w:r>
              <w:rPr>
                <w:sz w:val="16"/>
              </w:rPr>
            </w:r>
            <w:r>
              <w:rPr>
                <w:b w:val="0"/>
                <w:sz w:val="16"/>
              </w:rPr>
              <w:t>Aa3</w:t>
            </w:r>
          </w:p>
        </w:tc>
        <w:tc>
          <w:tcPr>
            <w:tcW w:type="dxa" w:w="1152"/>
            <w:vAlign w:val="top"/>
          </w:tcPr>
          <w:p>
            <w:pPr>
              <w:spacing w:after="0"/>
            </w:pPr>
            <w:r>
              <w:rPr>
                <w:sz w:val="16"/>
              </w:rPr>
            </w:r>
            <w:r>
              <w:rPr>
                <w:b w:val="0"/>
                <w:sz w:val="16"/>
              </w:rPr>
              <w:t>Aa3</w:t>
            </w:r>
          </w:p>
        </w:tc>
        <w:tc>
          <w:tcPr>
            <w:tcW w:type="dxa" w:w="1152"/>
            <w:vAlign w:val="top"/>
          </w:tcPr>
          <w:p>
            <w:pPr>
              <w:spacing w:after="0"/>
            </w:pPr>
            <w:r>
              <w:rPr>
                <w:sz w:val="16"/>
              </w:rPr>
            </w:r>
            <w:r>
              <w:rPr>
                <w:b w:val="0"/>
                <w:sz w:val="16"/>
              </w:rPr>
              <w:t>A1</w:t>
            </w:r>
          </w:p>
        </w:tc>
        <w:tc>
          <w:tcPr>
            <w:tcW w:type="dxa" w:w="1152"/>
            <w:vAlign w:val="top"/>
          </w:tcPr>
          <w:p>
            <w:pPr>
              <w:spacing w:after="0"/>
            </w:pPr>
            <w:r>
              <w:rPr>
                <w:sz w:val="16"/>
              </w:rPr>
            </w:r>
            <w:r>
              <w:rPr>
                <w:b w:val="0"/>
                <w:sz w:val="16"/>
              </w:rPr>
              <w:t>A1</w:t>
            </w:r>
          </w:p>
        </w:tc>
        <w:tc>
          <w:tcPr>
            <w:tcW w:type="dxa" w:w="1152"/>
            <w:vAlign w:val="top"/>
          </w:tcPr>
          <w:p>
            <w:pPr>
              <w:spacing w:after="0"/>
            </w:pPr>
            <w:r>
              <w:rPr>
                <w:sz w:val="16"/>
              </w:rPr>
            </w:r>
            <w:r>
              <w:rPr>
                <w:b w:val="0"/>
                <w:sz w:val="16"/>
              </w:rPr>
              <w:t>A1</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NR</w:t>
            </w:r>
          </w:p>
        </w:tc>
        <w:tc>
          <w:tcPr>
            <w:tcW w:type="dxa" w:w="1872"/>
            <w:vAlign w:val="top"/>
          </w:tcPr>
          <w:p>
            <w:pPr>
              <w:spacing w:after="0"/>
            </w:pPr>
            <w:r>
              <w:rPr>
                <w:sz w:val="16"/>
              </w:rPr>
            </w:r>
            <w:r>
              <w:rPr>
                <w:b w:val="0"/>
                <w:sz w:val="16"/>
              </w:rPr>
              <w:t>A1</w:t>
            </w:r>
          </w:p>
        </w:tc>
      </w:tr>
      <w:tr>
        <w:tc>
          <w:tcPr>
            <w:tcW w:type="dxa" w:w="1152"/>
            <w:vAlign w:val="top"/>
          </w:tcPr>
          <w:p>
            <w:pPr>
              <w:spacing w:after="0"/>
            </w:pPr>
            <w:r>
              <w:rPr>
                <w:sz w:val="16"/>
              </w:rPr>
            </w:r>
            <w:r>
              <w:rPr>
                <w:b w:val="0"/>
                <w:sz w:val="16"/>
              </w:rPr>
              <w:t>Moody’s</w:t>
            </w:r>
          </w:p>
        </w:tc>
        <w:tc>
          <w:tcPr>
            <w:tcW w:type="dxa" w:w="2880"/>
            <w:vAlign w:val="top"/>
          </w:tcPr>
          <w:p>
            <w:pPr>
              <w:spacing w:after="0"/>
            </w:pPr>
            <w:r>
              <w:rPr>
                <w:sz w:val="16"/>
              </w:rPr>
            </w:r>
            <w:r>
              <w:rPr>
                <w:b w:val="0"/>
                <w:sz w:val="16"/>
              </w:rPr>
              <w:t>Outlook</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Stable*</w:t>
            </w:r>
          </w:p>
        </w:tc>
        <w:tc>
          <w:tcPr>
            <w:tcW w:type="dxa" w:w="1872"/>
            <w:vAlign w:val="top"/>
          </w:tcPr>
          <w:p>
            <w:pPr>
              <w:spacing w:after="0"/>
            </w:pPr>
            <w:r>
              <w:rPr>
                <w:sz w:val="16"/>
              </w:rPr>
            </w:r>
            <w:r>
              <w:rPr>
                <w:b w:val="0"/>
                <w:sz w:val="16"/>
              </w:rPr>
              <w:t>Stable</w:t>
            </w:r>
          </w:p>
        </w:tc>
      </w:tr>
      <w:tr>
        <w:tc>
          <w:tcPr>
            <w:tcW w:type="dxa" w:w="1152"/>
            <w:vAlign w:val="top"/>
          </w:tcPr>
          <w:p>
            <w:pPr>
              <w:spacing w:after="0"/>
            </w:pPr>
            <w:r>
              <w:rPr>
                <w:sz w:val="16"/>
              </w:rPr>
            </w:r>
            <w:r>
              <w:rPr>
                <w:b w:val="0"/>
                <w:sz w:val="16"/>
              </w:rPr>
              <w:t>Moody’s</w:t>
            </w:r>
          </w:p>
        </w:tc>
        <w:tc>
          <w:tcPr>
            <w:tcW w:type="dxa" w:w="2880"/>
            <w:vAlign w:val="top"/>
          </w:tcPr>
          <w:p>
            <w:pPr>
              <w:spacing w:after="0"/>
            </w:pPr>
            <w:r>
              <w:rPr>
                <w:sz w:val="16"/>
              </w:rPr>
            </w:r>
            <w:r>
              <w:rPr>
                <w:b w:val="0"/>
                <w:sz w:val="16"/>
              </w:rPr>
              <w:t>Senior unsecured bond</w:t>
            </w:r>
          </w:p>
        </w:tc>
        <w:tc>
          <w:tcPr>
            <w:tcW w:type="dxa" w:w="1152"/>
            <w:vAlign w:val="top"/>
          </w:tcPr>
          <w:p>
            <w:pPr>
              <w:spacing w:after="0"/>
            </w:pPr>
            <w:r>
              <w:rPr>
                <w:sz w:val="16"/>
              </w:rPr>
            </w:r>
            <w:r>
              <w:rPr>
                <w:b w:val="0"/>
                <w:sz w:val="16"/>
              </w:rPr>
              <w:t>A1</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A3(hyb)*</w:t>
            </w:r>
          </w:p>
        </w:tc>
        <w:tc>
          <w:tcPr>
            <w:tcW w:type="dxa" w:w="1872"/>
            <w:vAlign w:val="top"/>
          </w:tcPr>
          <w:p>
            <w:pPr>
              <w:spacing w:after="0"/>
            </w:pPr>
            <w:r>
              <w:rPr>
                <w:sz w:val="16"/>
              </w:rPr>
            </w:r>
            <w:r>
              <w:rPr>
                <w:b w:val="0"/>
                <w:sz w:val="16"/>
              </w:rPr>
              <w:t>NR</w:t>
            </w:r>
          </w:p>
        </w:tc>
      </w:tr>
      <w:tr>
        <w:tc>
          <w:tcPr>
            <w:tcW w:type="dxa" w:w="1152"/>
            <w:vAlign w:val="top"/>
          </w:tcPr>
          <w:p>
            <w:pPr>
              <w:spacing w:after="0"/>
            </w:pPr>
            <w:r>
              <w:rPr>
                <w:sz w:val="16"/>
              </w:rPr>
            </w:r>
            <w:r>
              <w:rPr>
                <w:b w:val="0"/>
                <w:sz w:val="16"/>
              </w:rPr>
              <w:t>Moody’s</w:t>
            </w:r>
          </w:p>
        </w:tc>
        <w:tc>
          <w:tcPr>
            <w:tcW w:type="dxa" w:w="2880"/>
            <w:vAlign w:val="top"/>
          </w:tcPr>
          <w:p>
            <w:pPr>
              <w:spacing w:after="0"/>
            </w:pPr>
            <w:r>
              <w:rPr>
                <w:sz w:val="16"/>
              </w:rPr>
            </w:r>
            <w:r>
              <w:rPr>
                <w:b w:val="0"/>
                <w:sz w:val="16"/>
              </w:rPr>
              <w:t>Subordinated / hybrid bond</w:t>
            </w:r>
          </w:p>
        </w:tc>
        <w:tc>
          <w:tcPr>
            <w:tcW w:type="dxa" w:w="1152"/>
            <w:vAlign w:val="top"/>
          </w:tcPr>
          <w:p>
            <w:pPr>
              <w:spacing w:after="0"/>
            </w:pPr>
            <w:r>
              <w:rPr>
                <w:sz w:val="16"/>
              </w:rPr>
            </w:r>
            <w:r>
              <w:rPr>
                <w:b w:val="0"/>
                <w:sz w:val="16"/>
              </w:rPr>
              <w:t>A2</w:t>
            </w:r>
          </w:p>
        </w:tc>
        <w:tc>
          <w:tcPr>
            <w:tcW w:type="dxa" w:w="1152"/>
            <w:vAlign w:val="top"/>
          </w:tcPr>
          <w:p>
            <w:pPr>
              <w:spacing w:after="0"/>
            </w:pPr>
            <w:r>
              <w:rPr>
                <w:sz w:val="16"/>
              </w:rPr>
            </w:r>
            <w:r>
              <w:rPr>
                <w:b w:val="0"/>
                <w:sz w:val="16"/>
              </w:rPr>
              <w:t>A2</w:t>
            </w:r>
          </w:p>
        </w:tc>
        <w:tc>
          <w:tcPr>
            <w:tcW w:type="dxa" w:w="1152"/>
            <w:vAlign w:val="top"/>
          </w:tcPr>
          <w:p>
            <w:pPr>
              <w:spacing w:after="0"/>
            </w:pPr>
            <w:r>
              <w:rPr>
                <w:sz w:val="16"/>
              </w:rPr>
            </w:r>
            <w:r>
              <w:rPr>
                <w:b w:val="0"/>
                <w:sz w:val="16"/>
              </w:rPr>
              <w:t>A3</w:t>
            </w:r>
          </w:p>
        </w:tc>
        <w:tc>
          <w:tcPr>
            <w:tcW w:type="dxa" w:w="1152"/>
            <w:vAlign w:val="top"/>
          </w:tcPr>
          <w:p>
            <w:pPr>
              <w:spacing w:after="0"/>
            </w:pPr>
            <w:r>
              <w:rPr>
                <w:sz w:val="16"/>
              </w:rPr>
            </w:r>
            <w:r>
              <w:rPr>
                <w:b w:val="0"/>
                <w:sz w:val="16"/>
              </w:rPr>
              <w:t>A3</w:t>
            </w:r>
          </w:p>
        </w:tc>
        <w:tc>
          <w:tcPr>
            <w:tcW w:type="dxa" w:w="1152"/>
            <w:vAlign w:val="top"/>
          </w:tcPr>
          <w:p>
            <w:pPr>
              <w:spacing w:after="0"/>
            </w:pPr>
            <w:r>
              <w:rPr>
                <w:sz w:val="16"/>
              </w:rPr>
            </w:r>
            <w:r>
              <w:rPr>
                <w:b w:val="0"/>
                <w:sz w:val="16"/>
              </w:rPr>
              <w:t>A3</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NR</w:t>
            </w:r>
          </w:p>
        </w:tc>
        <w:tc>
          <w:tcPr>
            <w:tcW w:type="dxa" w:w="1872"/>
            <w:vAlign w:val="top"/>
          </w:tcPr>
          <w:p>
            <w:pPr>
              <w:spacing w:after="0"/>
            </w:pPr>
            <w:r>
              <w:rPr>
                <w:sz w:val="16"/>
              </w:rPr>
            </w:r>
            <w:r>
              <w:rPr>
                <w:b w:val="0"/>
                <w:sz w:val="16"/>
              </w:rPr>
              <w:t>A3(hyb)</w:t>
            </w:r>
          </w:p>
        </w:tc>
      </w:tr>
      <w:tr>
        <w:tc>
          <w:tcPr>
            <w:tcW w:type="dxa" w:w="1152"/>
            <w:vAlign w:val="top"/>
          </w:tcPr>
          <w:p>
            <w:pPr>
              <w:spacing w:after="0"/>
            </w:pPr>
            <w:r>
              <w:rPr>
                <w:sz w:val="16"/>
              </w:rPr>
            </w:r>
            <w:r>
              <w:rPr>
                <w:b w:val="0"/>
                <w:sz w:val="16"/>
              </w:rPr>
              <w:t>S&amp;P</w:t>
            </w:r>
          </w:p>
        </w:tc>
        <w:tc>
          <w:tcPr>
            <w:tcW w:type="dxa" w:w="2880"/>
            <w:vAlign w:val="top"/>
          </w:tcPr>
          <w:p>
            <w:pPr>
              <w:spacing w:after="0"/>
            </w:pPr>
            <w:r>
              <w:rPr>
                <w:sz w:val="16"/>
              </w:rPr>
            </w:r>
            <w:r>
              <w:rPr>
                <w:b w:val="0"/>
                <w:sz w:val="16"/>
              </w:rPr>
              <w:t>Long-term rating / ICR</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A-</w:t>
            </w:r>
          </w:p>
        </w:tc>
        <w:tc>
          <w:tcPr>
            <w:tcW w:type="dxa" w:w="1872"/>
            <w:vAlign w:val="top"/>
          </w:tcPr>
          <w:p>
            <w:pPr>
              <w:spacing w:after="0"/>
            </w:pPr>
            <w:r>
              <w:rPr>
                <w:sz w:val="16"/>
              </w:rPr>
            </w:r>
            <w:r>
              <w:rPr>
                <w:b w:val="0"/>
                <w:sz w:val="16"/>
              </w:rPr>
              <w:t>A+</w:t>
            </w:r>
          </w:p>
        </w:tc>
      </w:tr>
      <w:tr>
        <w:tc>
          <w:tcPr>
            <w:tcW w:type="dxa" w:w="1152"/>
            <w:vAlign w:val="top"/>
          </w:tcPr>
          <w:p>
            <w:pPr>
              <w:spacing w:after="0"/>
            </w:pPr>
            <w:r>
              <w:rPr>
                <w:sz w:val="16"/>
              </w:rPr>
            </w:r>
            <w:r>
              <w:rPr>
                <w:b w:val="0"/>
                <w:sz w:val="16"/>
              </w:rPr>
              <w:t>S&amp;P</w:t>
            </w:r>
          </w:p>
        </w:tc>
        <w:tc>
          <w:tcPr>
            <w:tcW w:type="dxa" w:w="2880"/>
            <w:vAlign w:val="top"/>
          </w:tcPr>
          <w:p>
            <w:pPr>
              <w:spacing w:after="0"/>
            </w:pPr>
            <w:r>
              <w:rPr>
                <w:sz w:val="16"/>
              </w:rPr>
            </w:r>
            <w:r>
              <w:rPr>
                <w:b w:val="0"/>
                <w:sz w:val="16"/>
              </w:rPr>
              <w:t>Financial strength rating</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 / N.A.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N.A.</w:t>
            </w:r>
          </w:p>
        </w:tc>
        <w:tc>
          <w:tcPr>
            <w:tcW w:type="dxa" w:w="1872"/>
            <w:vAlign w:val="top"/>
          </w:tcPr>
          <w:p>
            <w:pPr>
              <w:spacing w:after="0"/>
            </w:pPr>
            <w:r>
              <w:rPr>
                <w:sz w:val="16"/>
              </w:rPr>
            </w:r>
            <w:r>
              <w:rPr>
                <w:b w:val="0"/>
                <w:sz w:val="16"/>
              </w:rPr>
              <w:t>A+</w:t>
            </w:r>
          </w:p>
        </w:tc>
      </w:tr>
      <w:tr>
        <w:tc>
          <w:tcPr>
            <w:tcW w:type="dxa" w:w="1152"/>
            <w:vAlign w:val="top"/>
          </w:tcPr>
          <w:p>
            <w:pPr>
              <w:spacing w:after="0"/>
            </w:pPr>
            <w:r>
              <w:rPr>
                <w:sz w:val="16"/>
              </w:rPr>
            </w:r>
            <w:r>
              <w:rPr>
                <w:b w:val="0"/>
                <w:sz w:val="16"/>
              </w:rPr>
              <w:t>S&amp;P</w:t>
            </w:r>
          </w:p>
        </w:tc>
        <w:tc>
          <w:tcPr>
            <w:tcW w:type="dxa" w:w="2880"/>
            <w:vAlign w:val="top"/>
          </w:tcPr>
          <w:p>
            <w:pPr>
              <w:spacing w:after="0"/>
            </w:pPr>
            <w:r>
              <w:rPr>
                <w:sz w:val="16"/>
              </w:rPr>
            </w:r>
            <w:r>
              <w:rPr>
                <w:b w:val="0"/>
                <w:sz w:val="16"/>
              </w:rPr>
              <w:t>Outlook</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Stable</w:t>
            </w:r>
          </w:p>
        </w:tc>
        <w:tc>
          <w:tcPr>
            <w:tcW w:type="dxa" w:w="1872"/>
            <w:vAlign w:val="top"/>
          </w:tcPr>
          <w:p>
            <w:pPr>
              <w:spacing w:after="0"/>
            </w:pPr>
            <w:r>
              <w:rPr>
                <w:sz w:val="16"/>
              </w:rPr>
            </w:r>
            <w:r>
              <w:rPr>
                <w:b w:val="0"/>
                <w:sz w:val="16"/>
              </w:rPr>
              <w:t>Stable</w:t>
            </w:r>
          </w:p>
        </w:tc>
      </w:tr>
      <w:tr>
        <w:tc>
          <w:tcPr>
            <w:tcW w:type="dxa" w:w="1152"/>
            <w:vAlign w:val="top"/>
          </w:tcPr>
          <w:p>
            <w:pPr>
              <w:spacing w:after="0"/>
            </w:pPr>
            <w:r>
              <w:rPr>
                <w:sz w:val="16"/>
              </w:rPr>
            </w:r>
            <w:r>
              <w:rPr>
                <w:b w:val="0"/>
                <w:sz w:val="16"/>
              </w:rPr>
              <w:t>S&amp;P</w:t>
            </w:r>
          </w:p>
        </w:tc>
        <w:tc>
          <w:tcPr>
            <w:tcW w:type="dxa" w:w="2880"/>
            <w:vAlign w:val="top"/>
          </w:tcPr>
          <w:p>
            <w:pPr>
              <w:spacing w:after="0"/>
            </w:pPr>
            <w:r>
              <w:rPr>
                <w:sz w:val="16"/>
              </w:rPr>
            </w:r>
            <w:r>
              <w:rPr>
                <w:b w:val="0"/>
                <w:sz w:val="16"/>
              </w:rPr>
              <w:t>Senior bond</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BBB+ / issue-specific</w:t>
            </w:r>
          </w:p>
        </w:tc>
        <w:tc>
          <w:tcPr>
            <w:tcW w:type="dxa" w:w="1872"/>
            <w:vAlign w:val="top"/>
          </w:tcPr>
          <w:p>
            <w:pPr>
              <w:spacing w:after="0"/>
            </w:pPr>
            <w:r>
              <w:rPr>
                <w:sz w:val="16"/>
              </w:rPr>
            </w:r>
            <w:r>
              <w:rPr>
                <w:b w:val="0"/>
                <w:sz w:val="16"/>
              </w:rPr>
              <w:t>A+ / issue-specific</w:t>
            </w:r>
          </w:p>
        </w:tc>
      </w:tr>
      <w:tr>
        <w:tc>
          <w:tcPr>
            <w:tcW w:type="dxa" w:w="1152"/>
            <w:vAlign w:val="top"/>
          </w:tcPr>
          <w:p>
            <w:pPr>
              <w:spacing w:after="0"/>
            </w:pPr>
            <w:r>
              <w:rPr>
                <w:sz w:val="16"/>
              </w:rPr>
            </w:r>
            <w:r>
              <w:rPr>
                <w:b w:val="0"/>
                <w:sz w:val="16"/>
              </w:rPr>
              <w:t>S&amp;P</w:t>
            </w:r>
          </w:p>
        </w:tc>
        <w:tc>
          <w:tcPr>
            <w:tcW w:type="dxa" w:w="2880"/>
            <w:vAlign w:val="top"/>
          </w:tcPr>
          <w:p>
            <w:pPr>
              <w:spacing w:after="0"/>
            </w:pPr>
            <w:r>
              <w:rPr>
                <w:sz w:val="16"/>
              </w:rPr>
            </w:r>
            <w:r>
              <w:rPr>
                <w:b w:val="0"/>
                <w:sz w:val="16"/>
              </w:rPr>
              <w:t>Subordinated / hybrid bond</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NR</w:t>
            </w:r>
          </w:p>
        </w:tc>
        <w:tc>
          <w:tcPr>
            <w:tcW w:type="dxa" w:w="1872"/>
            <w:vAlign w:val="top"/>
          </w:tcPr>
          <w:p>
            <w:pPr>
              <w:spacing w:after="0"/>
            </w:pPr>
            <w:r>
              <w:rPr>
                <w:sz w:val="16"/>
              </w:rPr>
            </w:r>
            <w:r>
              <w:rPr>
                <w:b w:val="0"/>
                <w:sz w:val="16"/>
              </w:rPr>
              <w:t>NR</w:t>
            </w:r>
          </w:p>
        </w:tc>
      </w:tr>
      <w:tr>
        <w:tc>
          <w:tcPr>
            <w:tcW w:type="dxa" w:w="1152"/>
            <w:vAlign w:val="top"/>
          </w:tcPr>
          <w:p>
            <w:pPr>
              <w:spacing w:after="0"/>
            </w:pPr>
            <w:r>
              <w:rPr>
                <w:sz w:val="16"/>
              </w:rPr>
            </w:r>
            <w:r>
              <w:rPr>
                <w:b w:val="0"/>
                <w:sz w:val="16"/>
              </w:rPr>
              <w:t>Fitch</w:t>
            </w:r>
          </w:p>
        </w:tc>
        <w:tc>
          <w:tcPr>
            <w:tcW w:type="dxa" w:w="2880"/>
            <w:vAlign w:val="top"/>
          </w:tcPr>
          <w:p>
            <w:pPr>
              <w:spacing w:after="0"/>
            </w:pPr>
            <w:r>
              <w:rPr>
                <w:sz w:val="16"/>
              </w:rPr>
            </w:r>
            <w:r>
              <w:rPr>
                <w:b w:val="0"/>
                <w:sz w:val="16"/>
              </w:rPr>
              <w:t>Financial strength rating / IFS</w:t>
            </w:r>
          </w:p>
        </w:tc>
        <w:tc>
          <w:tcPr>
            <w:tcW w:type="dxa" w:w="1152"/>
            <w:vAlign w:val="top"/>
          </w:tcPr>
          <w:p>
            <w:pPr>
              <w:spacing w:after="0"/>
            </w:pPr>
            <w:r>
              <w:rPr>
                <w:sz w:val="16"/>
              </w:rPr>
            </w:r>
            <w:r>
              <w:rPr>
                <w:b w:val="0"/>
                <w:sz w:val="16"/>
              </w:rPr>
              <w:t>AA-</w:t>
            </w:r>
          </w:p>
        </w:tc>
        <w:tc>
          <w:tcPr>
            <w:tcW w:type="dxa" w:w="1152"/>
            <w:vAlign w:val="top"/>
          </w:tcPr>
          <w:p>
            <w:pPr>
              <w:spacing w:after="0"/>
            </w:pPr>
            <w:r>
              <w:rPr>
                <w:sz w:val="16"/>
              </w:rPr>
            </w:r>
            <w:r>
              <w:rPr>
                <w:b w:val="0"/>
                <w:sz w:val="16"/>
              </w:rPr>
              <w:t>AA-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A</w:t>
            </w:r>
          </w:p>
        </w:tc>
        <w:tc>
          <w:tcPr>
            <w:tcW w:type="dxa" w:w="1872"/>
            <w:vAlign w:val="top"/>
          </w:tcPr>
          <w:p>
            <w:pPr>
              <w:spacing w:after="0"/>
            </w:pPr>
            <w:r>
              <w:rPr>
                <w:sz w:val="16"/>
              </w:rPr>
            </w:r>
            <w:r>
              <w:rPr>
                <w:b w:val="0"/>
                <w:sz w:val="16"/>
              </w:rPr>
              <w:t>N.A.</w:t>
            </w:r>
          </w:p>
        </w:tc>
        <w:tc>
          <w:tcPr>
            <w:tcW w:type="dxa" w:w="1872"/>
            <w:vAlign w:val="top"/>
          </w:tcPr>
          <w:p>
            <w:pPr>
              <w:spacing w:after="0"/>
            </w:pPr>
            <w:r>
              <w:rPr>
                <w:sz w:val="16"/>
              </w:rPr>
            </w:r>
            <w:r>
              <w:rPr>
                <w:b w:val="0"/>
                <w:sz w:val="16"/>
              </w:rPr>
              <w:t>A+</w:t>
            </w:r>
          </w:p>
        </w:tc>
      </w:tr>
      <w:tr>
        <w:tc>
          <w:tcPr>
            <w:tcW w:type="dxa" w:w="1152"/>
            <w:vAlign w:val="top"/>
          </w:tcPr>
          <w:p>
            <w:pPr>
              <w:spacing w:after="0"/>
            </w:pPr>
            <w:r>
              <w:rPr>
                <w:sz w:val="16"/>
              </w:rPr>
            </w:r>
            <w:r>
              <w:rPr>
                <w:b w:val="0"/>
                <w:sz w:val="16"/>
              </w:rPr>
              <w:t>Fitch</w:t>
            </w:r>
          </w:p>
        </w:tc>
        <w:tc>
          <w:tcPr>
            <w:tcW w:type="dxa" w:w="2880"/>
            <w:vAlign w:val="top"/>
          </w:tcPr>
          <w:p>
            <w:pPr>
              <w:spacing w:after="0"/>
            </w:pPr>
            <w:r>
              <w:rPr>
                <w:sz w:val="16"/>
              </w:rPr>
            </w:r>
            <w:r>
              <w:rPr>
                <w:b w:val="0"/>
                <w:sz w:val="16"/>
              </w:rPr>
              <w:t>Long-term IDR</w:t>
            </w:r>
          </w:p>
        </w:tc>
        <w:tc>
          <w:tcPr>
            <w:tcW w:type="dxa" w:w="1152"/>
            <w:vAlign w:val="top"/>
          </w:tcPr>
          <w:p>
            <w:pPr>
              <w:spacing w:after="0"/>
            </w:pPr>
            <w:r>
              <w:rPr>
                <w:sz w:val="16"/>
              </w:rPr>
            </w:r>
            <w:r>
              <w:rPr>
                <w:b w:val="0"/>
                <w:sz w:val="16"/>
              </w:rPr>
              <w:t>NR / issue-specific</w:t>
            </w:r>
          </w:p>
        </w:tc>
        <w:tc>
          <w:tcPr>
            <w:tcW w:type="dxa" w:w="1152"/>
            <w:vAlign w:val="top"/>
          </w:tcPr>
          <w:p>
            <w:pPr>
              <w:spacing w:after="0"/>
            </w:pPr>
            <w:r>
              <w:rPr>
                <w:sz w:val="16"/>
              </w:rPr>
            </w:r>
            <w:r>
              <w:rPr>
                <w:b w:val="0"/>
                <w:sz w:val="16"/>
              </w:rPr>
              <w:t>NR / issue-specific</w:t>
            </w:r>
          </w:p>
        </w:tc>
        <w:tc>
          <w:tcPr>
            <w:tcW w:type="dxa" w:w="1152"/>
            <w:vAlign w:val="top"/>
          </w:tcPr>
          <w:p>
            <w:pPr>
              <w:spacing w:after="0"/>
            </w:pPr>
            <w:r>
              <w:rPr>
                <w:sz w:val="16"/>
              </w:rPr>
            </w:r>
            <w:r>
              <w:rPr>
                <w:b w:val="0"/>
                <w:sz w:val="16"/>
              </w:rPr>
              <w:t>NR / issue-specific</w:t>
            </w:r>
          </w:p>
        </w:tc>
        <w:tc>
          <w:tcPr>
            <w:tcW w:type="dxa" w:w="1152"/>
            <w:vAlign w:val="top"/>
          </w:tcPr>
          <w:p>
            <w:pPr>
              <w:spacing w:after="0"/>
            </w:pPr>
            <w:r>
              <w:rPr>
                <w:sz w:val="16"/>
              </w:rPr>
            </w:r>
            <w:r>
              <w:rPr>
                <w:b w:val="0"/>
                <w:sz w:val="16"/>
              </w:rPr>
              <w:t>A</w:t>
            </w:r>
          </w:p>
        </w:tc>
        <w:tc>
          <w:tcPr>
            <w:tcW w:type="dxa" w:w="1152"/>
            <w:vAlign w:val="top"/>
          </w:tcPr>
          <w:p>
            <w:pPr>
              <w:spacing w:after="0"/>
            </w:pPr>
            <w:r>
              <w:rPr>
                <w:sz w:val="16"/>
              </w:rPr>
            </w:r>
            <w:r>
              <w:rPr>
                <w:b w:val="0"/>
                <w:sz w:val="16"/>
              </w:rPr>
              <w:t>NR / issue-specific</w:t>
            </w:r>
          </w:p>
        </w:tc>
        <w:tc>
          <w:tcPr>
            <w:tcW w:type="dxa" w:w="1152"/>
            <w:vAlign w:val="top"/>
          </w:tcPr>
          <w:p>
            <w:pPr>
              <w:spacing w:after="0"/>
            </w:pPr>
            <w:r>
              <w:rPr>
                <w:sz w:val="16"/>
              </w:rPr>
            </w:r>
            <w:r>
              <w:rPr>
                <w:b w:val="0"/>
                <w:sz w:val="16"/>
              </w:rPr>
              <w:t>A-</w:t>
            </w:r>
          </w:p>
        </w:tc>
        <w:tc>
          <w:tcPr>
            <w:tcW w:type="dxa" w:w="1872"/>
            <w:vAlign w:val="top"/>
          </w:tcPr>
          <w:p>
            <w:pPr>
              <w:spacing w:after="0"/>
            </w:pPr>
            <w:r>
              <w:rPr>
                <w:sz w:val="16"/>
              </w:rPr>
            </w:r>
            <w:r>
              <w:rPr>
                <w:b w:val="0"/>
                <w:sz w:val="16"/>
              </w:rPr>
              <w:t>A+</w:t>
            </w:r>
          </w:p>
        </w:tc>
        <w:tc>
          <w:tcPr>
            <w:tcW w:type="dxa" w:w="1872"/>
            <w:vAlign w:val="top"/>
          </w:tcPr>
          <w:p>
            <w:pPr>
              <w:spacing w:after="0"/>
            </w:pPr>
            <w:r>
              <w:rPr>
                <w:sz w:val="16"/>
              </w:rPr>
            </w:r>
            <w:r>
              <w:rPr>
                <w:b w:val="0"/>
                <w:sz w:val="16"/>
              </w:rPr>
              <w:t>A+</w:t>
            </w:r>
          </w:p>
        </w:tc>
      </w:tr>
      <w:tr>
        <w:tc>
          <w:tcPr>
            <w:tcW w:type="dxa" w:w="1152"/>
            <w:vAlign w:val="top"/>
          </w:tcPr>
          <w:p>
            <w:pPr>
              <w:spacing w:after="0"/>
            </w:pPr>
            <w:r>
              <w:rPr>
                <w:sz w:val="16"/>
              </w:rPr>
            </w:r>
            <w:r>
              <w:rPr>
                <w:b w:val="0"/>
                <w:sz w:val="16"/>
              </w:rPr>
              <w:t>Fitch</w:t>
            </w:r>
          </w:p>
        </w:tc>
        <w:tc>
          <w:tcPr>
            <w:tcW w:type="dxa" w:w="2880"/>
            <w:vAlign w:val="top"/>
          </w:tcPr>
          <w:p>
            <w:pPr>
              <w:spacing w:after="0"/>
            </w:pPr>
            <w:r>
              <w:rPr>
                <w:sz w:val="16"/>
              </w:rPr>
            </w:r>
            <w:r>
              <w:rPr>
                <w:b w:val="0"/>
                <w:sz w:val="16"/>
              </w:rPr>
              <w:t>Outlook</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152"/>
            <w:vAlign w:val="top"/>
          </w:tcPr>
          <w:p>
            <w:pPr>
              <w:spacing w:after="0"/>
            </w:pPr>
            <w:r>
              <w:rPr>
                <w:sz w:val="16"/>
              </w:rPr>
            </w:r>
            <w:r>
              <w:rPr>
                <w:b w:val="0"/>
                <w:sz w:val="16"/>
              </w:rPr>
              <w:t>Stable</w:t>
            </w:r>
          </w:p>
        </w:tc>
        <w:tc>
          <w:tcPr>
            <w:tcW w:type="dxa" w:w="1872"/>
            <w:vAlign w:val="top"/>
          </w:tcPr>
          <w:p>
            <w:pPr>
              <w:spacing w:after="0"/>
            </w:pPr>
            <w:r>
              <w:rPr>
                <w:sz w:val="16"/>
              </w:rPr>
            </w:r>
            <w:r>
              <w:rPr>
                <w:b w:val="0"/>
                <w:sz w:val="16"/>
              </w:rPr>
              <w:t>Stable</w:t>
            </w:r>
          </w:p>
        </w:tc>
        <w:tc>
          <w:tcPr>
            <w:tcW w:type="dxa" w:w="1872"/>
            <w:vAlign w:val="top"/>
          </w:tcPr>
          <w:p>
            <w:pPr>
              <w:spacing w:after="0"/>
            </w:pPr>
            <w:r>
              <w:rPr>
                <w:sz w:val="16"/>
              </w:rPr>
            </w:r>
            <w:r>
              <w:rPr>
                <w:b w:val="0"/>
                <w:sz w:val="16"/>
              </w:rPr>
              <w:t>Stable</w:t>
            </w:r>
          </w:p>
        </w:tc>
      </w:tr>
      <w:tr>
        <w:tc>
          <w:tcPr>
            <w:tcW w:type="dxa" w:w="1152"/>
            <w:vAlign w:val="top"/>
          </w:tcPr>
          <w:p>
            <w:pPr>
              <w:spacing w:after="0"/>
            </w:pPr>
            <w:r>
              <w:rPr>
                <w:sz w:val="16"/>
              </w:rPr>
            </w:r>
            <w:r>
              <w:rPr>
                <w:b w:val="0"/>
                <w:sz w:val="16"/>
              </w:rPr>
              <w:t>Fitch</w:t>
            </w:r>
          </w:p>
        </w:tc>
        <w:tc>
          <w:tcPr>
            <w:tcW w:type="dxa" w:w="2880"/>
            <w:vAlign w:val="top"/>
          </w:tcPr>
          <w:p>
            <w:pPr>
              <w:spacing w:after="0"/>
            </w:pPr>
            <w:r>
              <w:rPr>
                <w:sz w:val="16"/>
              </w:rPr>
            </w:r>
            <w:r>
              <w:rPr>
                <w:b w:val="0"/>
                <w:sz w:val="16"/>
              </w:rPr>
              <w:t>Senior bond</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872"/>
            <w:vAlign w:val="top"/>
          </w:tcPr>
          <w:p>
            <w:pPr>
              <w:spacing w:after="0"/>
            </w:pPr>
            <w:r>
              <w:rPr>
                <w:sz w:val="16"/>
              </w:rPr>
            </w:r>
            <w:r>
              <w:rPr>
                <w:b w:val="0"/>
                <w:sz w:val="16"/>
              </w:rPr>
              <w:t>A</w:t>
            </w:r>
          </w:p>
        </w:tc>
        <w:tc>
          <w:tcPr>
            <w:tcW w:type="dxa" w:w="1872"/>
            <w:vAlign w:val="top"/>
          </w:tcPr>
          <w:p>
            <w:pPr>
              <w:spacing w:after="0"/>
            </w:pPr>
            <w:r>
              <w:rPr>
                <w:sz w:val="16"/>
              </w:rPr>
            </w:r>
            <w:r>
              <w:rPr>
                <w:b w:val="0"/>
                <w:sz w:val="16"/>
              </w:rPr>
              <w:t>A- / issue-specific</w:t>
            </w:r>
          </w:p>
        </w:tc>
      </w:tr>
      <w:tr>
        <w:tc>
          <w:tcPr>
            <w:tcW w:type="dxa" w:w="1152"/>
            <w:vAlign w:val="top"/>
          </w:tcPr>
          <w:p>
            <w:pPr>
              <w:spacing w:after="0"/>
            </w:pPr>
            <w:r>
              <w:rPr>
                <w:sz w:val="16"/>
              </w:rPr>
            </w:r>
            <w:r>
              <w:rPr>
                <w:b w:val="0"/>
                <w:sz w:val="16"/>
              </w:rPr>
              <w:t>Fitch</w:t>
            </w:r>
          </w:p>
        </w:tc>
        <w:tc>
          <w:tcPr>
            <w:tcW w:type="dxa" w:w="2880"/>
            <w:vAlign w:val="top"/>
          </w:tcPr>
          <w:p>
            <w:pPr>
              <w:spacing w:after="0"/>
            </w:pPr>
            <w:r>
              <w:rPr>
                <w:sz w:val="16"/>
              </w:rPr>
            </w:r>
            <w:r>
              <w:rPr>
                <w:b w:val="0"/>
                <w:sz w:val="16"/>
              </w:rPr>
              <w:t>Subordinated / hybrid bond</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NR</w:t>
            </w:r>
          </w:p>
        </w:tc>
        <w:tc>
          <w:tcPr>
            <w:tcW w:type="dxa" w:w="1152"/>
            <w:vAlign w:val="top"/>
          </w:tcPr>
          <w:p>
            <w:pPr>
              <w:spacing w:after="0"/>
            </w:pPr>
            <w:r>
              <w:rPr>
                <w:sz w:val="16"/>
              </w:rPr>
            </w:r>
            <w:r>
              <w:rPr>
                <w:b w:val="0"/>
                <w:sz w:val="16"/>
              </w:rPr>
              <w:t>BBB+</w:t>
            </w:r>
          </w:p>
        </w:tc>
        <w:tc>
          <w:tcPr>
            <w:tcW w:type="dxa" w:w="1872"/>
            <w:vAlign w:val="top"/>
          </w:tcPr>
          <w:p>
            <w:pPr>
              <w:spacing w:after="0"/>
            </w:pPr>
            <w:r>
              <w:rPr>
                <w:sz w:val="16"/>
              </w:rPr>
            </w:r>
            <w:r>
              <w:rPr>
                <w:b w:val="0"/>
                <w:sz w:val="16"/>
              </w:rPr>
              <w:t>NR</w:t>
            </w:r>
          </w:p>
        </w:tc>
        <w:tc>
          <w:tcPr>
            <w:tcW w:type="dxa" w:w="1872"/>
            <w:vAlign w:val="top"/>
          </w:tcPr>
          <w:p>
            <w:pPr>
              <w:spacing w:after="0"/>
            </w:pPr>
            <w:r>
              <w:rPr>
                <w:sz w:val="16"/>
              </w:rPr>
            </w:r>
            <w:r>
              <w:rPr>
                <w:b w:val="0"/>
                <w:sz w:val="16"/>
              </w:rPr>
              <w:t>NR</w:t>
            </w:r>
          </w:p>
        </w:tc>
      </w:tr>
    </w:tbl>
    <w:p/>
    <w:p>
      <w:r>
        <w:rPr>
          <w:sz w:val="16"/>
        </w:rPr>
        <w:t>* Sompo Holdings is a HoldCo. Moody’s A3(hyb) refers to the senior unsecured note with hybrid treatment, not a standard insurance subordinated bond. Sompo Japan Insurance, the OpCo, has separate insurance financial strength ratings.</w:t>
      </w:r>
    </w:p>
    <w:p>
      <w:pPr>
        <w:sectPr>
          <w:footerReference w:type="default" r:id="rId14"/>
          <w:pgSz w:w="15840" w:h="12240" w:orient="landscape"/>
          <w:pgMar w:top="720" w:right="504" w:bottom="720" w:left="504" w:header="720" w:footer="720" w:gutter="0"/>
          <w:cols w:space="720"/>
          <w:docGrid w:linePitch="360"/>
        </w:sectPr>
      </w:pPr>
    </w:p>
    <w:p>
      <w:pPr>
        <w:pStyle w:val="Heading1"/>
      </w:pPr>
      <w:r>
        <w:t>Final Bottom Line</w:t>
      </w:r>
    </w:p>
    <w:p>
      <w:r>
        <w:t>Japanese insurance credit is broadly stable, but the trade is now more about issuer-specific RV than sector beta.</w:t>
      </w:r>
    </w:p>
    <w:p>
      <w:pPr>
        <w:pStyle w:val="ListBullet"/>
      </w:pPr>
      <w:r>
        <w:t>Core defensive benchmark: Nippon Life</w:t>
      </w:r>
    </w:p>
    <w:p>
      <w:pPr>
        <w:pStyle w:val="ListBullet"/>
      </w:pPr>
      <w:r>
        <w:t>Best JGB-volatility buffer: Meiji Yasuda</w:t>
      </w:r>
    </w:p>
    <w:p>
      <w:pPr>
        <w:pStyle w:val="ListBullet"/>
      </w:pPr>
      <w:r>
        <w:t>Strong OpCo but earnings-quality risk: Dai-ichi Life Insurance</w:t>
      </w:r>
    </w:p>
    <w:p>
      <w:pPr>
        <w:pStyle w:val="ListBullet"/>
      </w:pPr>
      <w:r>
        <w:t>Improving but capital laggard: Sumitomo Life</w:t>
      </w:r>
    </w:p>
    <w:p>
      <w:pPr>
        <w:pStyle w:val="ListBullet"/>
      </w:pPr>
      <w:r>
        <w:t>Stable mid-tier carry: Fukoku</w:t>
      </w:r>
    </w:p>
    <w:p>
      <w:pPr>
        <w:pStyle w:val="ListBullet"/>
      </w:pPr>
      <w:r>
        <w:t>Turnaround mostly priced: Asahi</w:t>
      </w:r>
    </w:p>
    <w:p>
      <w:pPr>
        <w:pStyle w:val="ListBullet"/>
      </w:pPr>
      <w:r>
        <w:t>P&amp;C defensive OpCo: MSINS</w:t>
      </w:r>
    </w:p>
    <w:p>
      <w:pPr>
        <w:pStyle w:val="ListBullet"/>
      </w:pPr>
      <w:r>
        <w:t>P&amp;C HoldCo premium / international diversification: SMPHD</w:t>
      </w:r>
    </w:p>
    <w:p>
      <w:r>
        <w:t>For lifers, the main spread driver should be ESR quality and capital trajectory. For P&amp;C, the main spread driver should be issuer structure and reserve / catastrophe / overseas execution risk.</w:t>
      </w:r>
    </w:p>
    <w:sectPr w:rsidR="00FC693F" w:rsidRPr="0006063C" w:rsidSect="00034616">
      <w:footerReference w:type="default" r:id="rId15"/>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