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240" w:after="120"/>
        <w:jc w:val="center"/>
      </w:pPr>
      <w:r>
        <w:rPr>
          <w:rFonts w:ascii="Arial" w:cs="Arial" w:eastAsia="Arial" w:hAnsi="Arial"/>
          <w:b/>
          <w:bCs/>
          <w:color w:val="1F4E79"/>
          <w:sz w:val="56"/>
          <w:szCs w:val="56"/>
        </w:rPr>
        <w:t xml:space="preserve">Jack Henry Business Intelligence</w:t>
      </w:r>
    </w:p>
    <w:p>
      <w:pPr>
        <w:pBdr>
          <w:bottom w:val="single" w:color="2E75B6" w:sz="6" w:space="1"/>
        </w:pBdr>
        <w:spacing w:before="120" w:after="120"/>
        <w:jc w:val="center"/>
      </w:pPr>
      <w:r>
        <w:rPr>
          <w:rFonts w:ascii="Arial" w:cs="Arial" w:eastAsia="Arial" w:hAnsi="Arial"/>
          <w:b/>
          <w:bCs/>
          <w:color w:val="2E75B6"/>
          <w:sz w:val="40"/>
          <w:szCs w:val="40"/>
        </w:rPr>
        <w:t xml:space="preserve">GCP Data as a Service Architecture</w:t>
      </w:r>
    </w:p>
    <w:p>
      <w:pPr>
        <w:spacing w:before="60" w:after="60"/>
      </w:pPr>
      <w:r>
        <w:t xml:space="preserve"/>
      </w:r>
    </w:p>
    <w:p>
      <w:pPr>
        <w:spacing w:before="120" w:after="120"/>
        <w:jc w:val="center"/>
      </w:pPr>
      <w:r>
        <w:rPr>
          <w:rFonts w:ascii="Arial" w:cs="Arial" w:eastAsia="Arial" w:hAnsi="Arial"/>
          <w:i/>
          <w:iCs/>
          <w:color w:val="595959"/>
          <w:sz w:val="28"/>
          <w:szCs w:val="28"/>
        </w:rPr>
        <w:t xml:space="preserve">Internal &amp; External Access Design</w:t>
      </w:r>
    </w:p>
    <w:p>
      <w:pPr>
        <w:spacing w:before="60" w:after="60"/>
      </w:pPr>
      <w:r>
        <w:t xml:space="preserve"/>
      </w:r>
    </w:p>
    <w:p>
      <w:pPr>
        <w:spacing w:before="60" w:after="60"/>
      </w:pPr>
      <w:r>
        <w:t xml:space="preserve"/>
      </w:r>
    </w:p>
    <w:p>
      <w:pPr>
        <w:spacing w:before="60" w:after="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il" w:color="FFFFFF" w:sz="0"/>
              <w:left w:val="nil" w:color="FFFFFF" w:sz="0"/>
              <w:bottom w:val="nil" w:color="FFFFFF" w:sz="0"/>
              <w:right w:val="nil" w:color="FFFFFF" w:sz="0"/>
            </w:tcBorders>
            <w:tcMar>
              <w:top w:type="dxa" w:w="80"/>
              <w:left w:type="dxa" w:w="120"/>
              <w:bottom w:type="dxa" w:w="80"/>
              <w:right w:type="dxa" w:w="120"/>
            </w:tcMar>
          </w:tcPr>
          <w:p>
            <w:r>
              <w:rPr>
                <w:rFonts w:ascii="Arial" w:cs="Arial" w:eastAsia="Arial" w:hAnsi="Arial"/>
                <w:b/>
                <w:bCs/>
                <w:color w:val="1F4E79"/>
                <w:sz w:val="22"/>
                <w:szCs w:val="22"/>
              </w:rPr>
              <w:t xml:space="preserve">Document Version:</w:t>
            </w:r>
          </w:p>
        </w:tc>
        <w:tc>
          <w:tcPr>
            <w:tcW w:type="dxa" w:w="3600"/>
            <w:tcBorders>
              <w:top w:val="nil" w:color="FFFFFF" w:sz="0"/>
              <w:left w:val="nil" w:color="FFFFFF" w:sz="0"/>
              <w:bottom w:val="nil" w:color="FFFFFF" w:sz="0"/>
              <w:right w:val="nil" w:color="FFFFFF" w:sz="0"/>
            </w:tcBorders>
            <w:tcMar>
              <w:top w:type="dxa" w:w="80"/>
              <w:left w:type="dxa" w:w="120"/>
              <w:bottom w:type="dxa" w:w="80"/>
              <w:right w:type="dxa" w:w="120"/>
            </w:tcMar>
          </w:tcPr>
          <w:p>
            <w:r>
              <w:rPr>
                <w:rFonts w:ascii="Arial" w:cs="Arial" w:eastAsia="Arial" w:hAnsi="Arial"/>
                <w:color w:val="1A1A1A"/>
                <w:sz w:val="22"/>
                <w:szCs w:val="22"/>
              </w:rPr>
              <w:t xml:space="preserve">1.0 — Draft</w:t>
            </w:r>
          </w:p>
        </w:tc>
      </w:tr>
      <w:tr>
        <w:tc>
          <w:tcPr>
            <w:tcW w:type="dxa" w:w="2400"/>
            <w:tcBorders>
              <w:top w:val="nil" w:color="FFFFFF" w:sz="0"/>
              <w:left w:val="nil" w:color="FFFFFF" w:sz="0"/>
              <w:bottom w:val="nil" w:color="FFFFFF" w:sz="0"/>
              <w:right w:val="nil" w:color="FFFFFF" w:sz="0"/>
            </w:tcBorders>
            <w:tcMar>
              <w:top w:type="dxa" w:w="80"/>
              <w:left w:type="dxa" w:w="120"/>
              <w:bottom w:type="dxa" w:w="80"/>
              <w:right w:type="dxa" w:w="120"/>
            </w:tcMar>
          </w:tcPr>
          <w:p>
            <w:r>
              <w:rPr>
                <w:rFonts w:ascii="Arial" w:cs="Arial" w:eastAsia="Arial" w:hAnsi="Arial"/>
                <w:b/>
                <w:bCs/>
                <w:color w:val="1F4E79"/>
                <w:sz w:val="22"/>
                <w:szCs w:val="22"/>
              </w:rPr>
              <w:t xml:space="preserve">Date:</w:t>
            </w:r>
          </w:p>
        </w:tc>
        <w:tc>
          <w:tcPr>
            <w:tcW w:type="dxa" w:w="3600"/>
            <w:tcBorders>
              <w:top w:val="nil" w:color="FFFFFF" w:sz="0"/>
              <w:left w:val="nil" w:color="FFFFFF" w:sz="0"/>
              <w:bottom w:val="nil" w:color="FFFFFF" w:sz="0"/>
              <w:right w:val="nil" w:color="FFFFFF" w:sz="0"/>
            </w:tcBorders>
            <w:tcMar>
              <w:top w:type="dxa" w:w="80"/>
              <w:left w:type="dxa" w:w="120"/>
              <w:bottom w:type="dxa" w:w="80"/>
              <w:right w:type="dxa" w:w="120"/>
            </w:tcMar>
          </w:tcPr>
          <w:p>
            <w:r>
              <w:rPr>
                <w:rFonts w:ascii="Arial" w:cs="Arial" w:eastAsia="Arial" w:hAnsi="Arial"/>
                <w:color w:val="1A1A1A"/>
                <w:sz w:val="22"/>
                <w:szCs w:val="22"/>
              </w:rPr>
              <w:t xml:space="preserve">February 2026</w:t>
            </w:r>
          </w:p>
        </w:tc>
      </w:tr>
      <w:tr>
        <w:tc>
          <w:tcPr>
            <w:tcW w:type="dxa" w:w="2400"/>
            <w:tcBorders>
              <w:top w:val="nil" w:color="FFFFFF" w:sz="0"/>
              <w:left w:val="nil" w:color="FFFFFF" w:sz="0"/>
              <w:bottom w:val="nil" w:color="FFFFFF" w:sz="0"/>
              <w:right w:val="nil" w:color="FFFFFF" w:sz="0"/>
            </w:tcBorders>
            <w:tcMar>
              <w:top w:type="dxa" w:w="80"/>
              <w:left w:type="dxa" w:w="120"/>
              <w:bottom w:type="dxa" w:w="80"/>
              <w:right w:type="dxa" w:w="120"/>
            </w:tcMar>
          </w:tcPr>
          <w:p>
            <w:r>
              <w:rPr>
                <w:rFonts w:ascii="Arial" w:cs="Arial" w:eastAsia="Arial" w:hAnsi="Arial"/>
                <w:b/>
                <w:bCs/>
                <w:color w:val="1F4E79"/>
                <w:sz w:val="22"/>
                <w:szCs w:val="22"/>
              </w:rPr>
              <w:t xml:space="preserve">Platform:</w:t>
            </w:r>
          </w:p>
        </w:tc>
        <w:tc>
          <w:tcPr>
            <w:tcW w:type="dxa" w:w="3600"/>
            <w:tcBorders>
              <w:top w:val="nil" w:color="FFFFFF" w:sz="0"/>
              <w:left w:val="nil" w:color="FFFFFF" w:sz="0"/>
              <w:bottom w:val="nil" w:color="FFFFFF" w:sz="0"/>
              <w:right w:val="nil" w:color="FFFFFF" w:sz="0"/>
            </w:tcBorders>
            <w:tcMar>
              <w:top w:type="dxa" w:w="80"/>
              <w:left w:type="dxa" w:w="120"/>
              <w:bottom w:type="dxa" w:w="80"/>
              <w:right w:type="dxa" w:w="120"/>
            </w:tcMar>
          </w:tcPr>
          <w:p>
            <w:r>
              <w:rPr>
                <w:rFonts w:ascii="Arial" w:cs="Arial" w:eastAsia="Arial" w:hAnsi="Arial"/>
                <w:color w:val="1A1A1A"/>
                <w:sz w:val="22"/>
                <w:szCs w:val="22"/>
              </w:rPr>
              <w:t xml:space="preserve">Google Cloud Platform (GCP)</w:t>
            </w:r>
          </w:p>
        </w:tc>
      </w:tr>
      <w:tr>
        <w:tc>
          <w:tcPr>
            <w:tcW w:type="dxa" w:w="2400"/>
            <w:tcBorders>
              <w:top w:val="nil" w:color="FFFFFF" w:sz="0"/>
              <w:left w:val="nil" w:color="FFFFFF" w:sz="0"/>
              <w:bottom w:val="nil" w:color="FFFFFF" w:sz="0"/>
              <w:right w:val="nil" w:color="FFFFFF" w:sz="0"/>
            </w:tcBorders>
            <w:tcMar>
              <w:top w:type="dxa" w:w="80"/>
              <w:left w:type="dxa" w:w="120"/>
              <w:bottom w:type="dxa" w:w="80"/>
              <w:right w:type="dxa" w:w="120"/>
            </w:tcMar>
          </w:tcPr>
          <w:p>
            <w:r>
              <w:rPr>
                <w:rFonts w:ascii="Arial" w:cs="Arial" w:eastAsia="Arial" w:hAnsi="Arial"/>
                <w:b/>
                <w:bCs/>
                <w:color w:val="1F4E79"/>
                <w:sz w:val="22"/>
                <w:szCs w:val="22"/>
              </w:rPr>
              <w:t xml:space="preserve">Classification:</w:t>
            </w:r>
          </w:p>
        </w:tc>
        <w:tc>
          <w:tcPr>
            <w:tcW w:type="dxa" w:w="3600"/>
            <w:tcBorders>
              <w:top w:val="nil" w:color="FFFFFF" w:sz="0"/>
              <w:left w:val="nil" w:color="FFFFFF" w:sz="0"/>
              <w:bottom w:val="nil" w:color="FFFFFF" w:sz="0"/>
              <w:right w:val="nil" w:color="FFFFFF" w:sz="0"/>
            </w:tcBorders>
            <w:tcMar>
              <w:top w:type="dxa" w:w="80"/>
              <w:left w:type="dxa" w:w="120"/>
              <w:bottom w:type="dxa" w:w="80"/>
              <w:right w:type="dxa" w:w="120"/>
            </w:tcMar>
          </w:tcPr>
          <w:p>
            <w:r>
              <w:rPr>
                <w:rFonts w:ascii="Arial" w:cs="Arial" w:eastAsia="Arial" w:hAnsi="Arial"/>
                <w:color w:val="1A1A1A"/>
                <w:sz w:val="22"/>
                <w:szCs w:val="22"/>
              </w:rPr>
              <w:t xml:space="preserve">Jack Henry Internal — Confidential</w:t>
            </w:r>
          </w:p>
        </w:tc>
      </w:tr>
    </w:tbl>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jc w:val="center"/>
      </w:pPr>
      <w:r>
        <w:rPr>
          <w:rFonts w:ascii="Arial" w:cs="Arial" w:eastAsia="Arial" w:hAnsi="Arial"/>
          <w:color w:val="BFBFBF"/>
          <w:sz w:val="20"/>
          <w:szCs w:val="20"/>
        </w:rPr>
        <w:t xml:space="preserve">Jack Henry &amp; Associates, Inc.</w:t>
      </w:r>
    </w:p>
    <w:p>
      <w:pPr>
        <w:jc w:val="center"/>
      </w:pPr>
      <w:r>
        <w:rPr>
          <w:rFonts w:ascii="Arial" w:cs="Arial" w:eastAsia="Arial" w:hAnsi="Arial"/>
          <w:color w:val="BFBFBF"/>
          <w:sz w:val="20"/>
          <w:szCs w:val="20"/>
        </w:rPr>
        <w:t xml:space="preserve">JHBI Product Engineering</w:t>
      </w:r>
    </w:p>
    <w:p>
      <w:pPr>
        <w:sectPr>
          <w:pgSz w:w="12240" w:h="15840" w:orient="portrait"/>
          <w:pgMar w:top="1440" w:right="1440" w:bottom="1440" w:left="1440" w:header="708" w:footer="708" w:gutter="0"/>
          <w:pgNumType/>
          <w:docGrid w:linePitch="360"/>
        </w:sectPr>
      </w:pPr>
    </w:p>
    <w:p>
      <w:pPr>
        <w:pStyle w:val="Heading1"/>
        <w:spacing w:before="240" w:after="20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before="240" w:after="200"/>
      </w:pPr>
      <w:r>
        <w:rPr>
          <w:rFonts w:ascii="Arial" w:cs="Arial" w:eastAsia="Arial" w:hAnsi="Arial"/>
          <w:b/>
          <w:bCs/>
          <w:color w:val="1F4E79"/>
          <w:sz w:val="32"/>
          <w:szCs w:val="32"/>
        </w:rPr>
        <w:t xml:space="preserve">1. Executive Summary</w:t>
      </w:r>
    </w:p>
    <w:p>
      <w:pPr>
        <w:spacing w:before="80" w:after="80"/>
      </w:pPr>
      <w:r>
        <w:rPr>
          <w:rFonts w:ascii="Arial" w:cs="Arial" w:eastAsia="Arial" w:hAnsi="Arial"/>
          <w:color w:val="1A1A1A"/>
          <w:sz w:val="22"/>
          <w:szCs w:val="22"/>
        </w:rPr>
        <w:t xml:space="preserve">This document defines the Google Cloud Platform (GCP) reference architecture for the Jack Henry Business Intelligence (JHBI) Data as a Service (DaaS) platform. It covers both the internal use case — where Jack Henry analysts query and analyze data across all financial institutions (cross-FI) — and the external use case — where individual FI clients query their own data through the JHBI portal and APIs.</w:t>
      </w:r>
    </w:p>
    <w:p>
      <w:pPr>
        <w:spacing w:before="60" w:after="60"/>
      </w:pPr>
      <w:r>
        <w:t xml:space="preserve"/>
      </w:r>
    </w:p>
    <w:p>
      <w:pPr>
        <w:spacing w:before="80" w:after="80"/>
      </w:pPr>
      <w:r>
        <w:rPr>
          <w:rFonts w:ascii="Arial" w:cs="Arial" w:eastAsia="Arial" w:hAnsi="Arial"/>
          <w:color w:val="1A1A1A"/>
          <w:sz w:val="22"/>
          <w:szCs w:val="22"/>
        </w:rPr>
        <w:t xml:space="preserve">JHBI ingests payments data from four initial source systems (EPS Ensenta, EPS ACH, PayCenter, and BillPay) via real-time Change Data Capture (CDC) into a BigQuery-based Medallion Data Lake (Bronze / Silver / Gold). Entity resolution de-duplicates Account, Customer, and Household entities across sources. Curated data is then surfaced via REST APIs and an FI-facing portal, as well as Power BI semantic layers and dashboards.</w:t>
      </w:r>
    </w:p>
    <w:p>
      <w:pPr>
        <w:spacing w:before="60" w:after="60"/>
      </w:pPr>
      <w:r>
        <w:t xml:space="preserve"/>
      </w:r>
    </w:p>
    <w:p>
      <w:pPr>
        <w:spacing w:before="80" w:after="80"/>
      </w:pPr>
      <w:r>
        <w:rPr>
          <w:rFonts w:ascii="Arial" w:cs="Arial" w:eastAsia="Arial" w:hAnsi="Arial"/>
          <w:color w:val="1A1A1A"/>
          <w:sz w:val="22"/>
          <w:szCs w:val="22"/>
        </w:rPr>
        <w:t xml:space="preserve">The architecture enforces strict multi-tenant isolation so each FI only ever sees its own data when accessing the platform externally, while enabling JH-authorized personnel to perform cross-FI aggregate analysis internally — all within a unified GCP environment governed by Dataplex, Cloud DLP, VPC Service Controls, and a comprehensive IAM model.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Dimension</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Internal Use (Cross-FI)</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External Use (Per-FI)</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1A1A1A"/>
                <w:sz w:val="20"/>
                <w:szCs w:val="20"/>
              </w:rPr>
              <w:t xml:space="preserve">Who</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JH data scientists, analysts, product teams, compliance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FI client users (data analysts, compliance, operations)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1A1A1A"/>
                <w:sz w:val="20"/>
                <w:szCs w:val="20"/>
              </w:rPr>
              <w:t xml:space="preserve">Scope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All FI tenants — aggregate and cross-FI patterns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Single FI — their transactions, customers, accounts only</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1A1A1A"/>
                <w:sz w:val="20"/>
                <w:szCs w:val="20"/>
              </w:rPr>
              <w:t xml:space="preserve">Access Pattern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Direct BigQuery SQL, Vertex AI Workbench, Looker, Analytics Hub</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Portal UI, REST APIs, Power BI (via semantic layer), Data Services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1A1A1A"/>
                <w:sz w:val="20"/>
                <w:szCs w:val="20"/>
              </w:rPr>
              <w:t xml:space="preserve">Isolation</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JH-internal GCP project; IAM roles required; authorized views for Gold</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BigQuery Row-Level Security (RLS) + per-FI IAM bindings; VPC Service Controls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1A1A1A"/>
                <w:sz w:val="20"/>
                <w:szCs w:val="20"/>
              </w:rPr>
              <w:t xml:space="preserve">Auth</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Google Workspace SSO / Workload Identity Federation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OAuth 2.0 / OIDC via Cloud Identity; FI service accounts</w:t>
            </w:r>
          </w:p>
        </w:tc>
      </w:tr>
    </w:tbl>
    <w:p>
      <w:pPr>
        <w:spacing w:before="60" w:after="60"/>
      </w:pPr>
      <w:r>
        <w:t xml:space="preserve"/>
      </w:r>
    </w:p>
    <w:p>
      <w:pPr>
        <w:pStyle w:val="Heading1"/>
        <w:pageBreakBefore/>
        <w:spacing w:before="240" w:after="200"/>
      </w:pPr>
      <w:r>
        <w:rPr>
          <w:rFonts w:ascii="Arial" w:cs="Arial" w:eastAsia="Arial" w:hAnsi="Arial"/>
          <w:b/>
          <w:bCs/>
          <w:color w:val="1F4E79"/>
          <w:sz w:val="32"/>
          <w:szCs w:val="32"/>
        </w:rPr>
        <w:t xml:space="preserve">2. GCP Project Structure &amp; Environment Strategy</w:t>
      </w:r>
    </w:p>
    <w:p>
      <w:pPr>
        <w:spacing w:before="80" w:after="80"/>
      </w:pPr>
      <w:r>
        <w:rPr>
          <w:rFonts w:ascii="Arial" w:cs="Arial" w:eastAsia="Arial" w:hAnsi="Arial"/>
          <w:color w:val="1A1A1A"/>
          <w:sz w:val="22"/>
          <w:szCs w:val="22"/>
        </w:rPr>
        <w:t xml:space="preserve">JHBI follows a GCP Landing Zone approach with separate projects per environment and per functional boundary. This enforces least-privilege access, cost attribution, and blast-radius containment.</w:t>
      </w:r>
    </w:p>
    <w:p>
      <w:pPr>
        <w:spacing w:before="60" w:after="60"/>
      </w:pPr>
      <w:r>
        <w:t xml:space="preserve"/>
      </w:r>
    </w:p>
    <w:p>
      <w:pPr>
        <w:pStyle w:val="Heading2"/>
        <w:spacing w:before="200" w:after="120"/>
      </w:pPr>
      <w:r>
        <w:rPr>
          <w:rFonts w:ascii="Arial" w:cs="Arial" w:eastAsia="Arial" w:hAnsi="Arial"/>
          <w:b/>
          <w:bCs/>
          <w:color w:val="2E75B6"/>
          <w:sz w:val="26"/>
          <w:szCs w:val="26"/>
        </w:rPr>
        <w:t xml:space="preserve">2.1 Project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GCP Project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Environment</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jhbi-ingestion-prod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Production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CDC pipeline: Datastream, Pub/Sub, Dataflow, DLP, KMS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jhbi-datalake-prod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Production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BigQuery datasets (Bronze/Silver/Gold), Dataplex, Cloud Composer, Dataform, Cloud Spanner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jhbi-services-prod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Production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API Gateway, Cloud Run (Data Services + Portal), Firebase Hosting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jhbi-internal-prod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Production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Internal analytics: Analytics Hub, Vertex AI Workbench, Looker, internal BigQuery authorized views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jhbi-security-prod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Production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 KMS (CMEK keys), Secret Manager, Cloud Armor, IAP config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jhbi-devops-prod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Production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 Build, Artifact Registry, Terraform state, monitoring dashboards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jhbi-*-staging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Staging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Full mirror of production topology; integrated testing with synthetic FI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jhbi-*-dev</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Development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Developer sandboxes; test data management (TDM) synthetic data only</w:t>
            </w:r>
          </w:p>
        </w:tc>
      </w:tr>
    </w:tbl>
    <w:p>
      <w:pPr>
        <w:spacing w:before="60" w:after="60"/>
      </w:pPr>
      <w:r>
        <w:t xml:space="preserve"/>
      </w:r>
    </w:p>
    <w:p>
      <w:pPr>
        <w:spacing w:before="60" w:after="60"/>
        <w:ind w:left="720"/>
      </w:pPr>
      <w:r>
        <w:rPr>
          <w:rFonts w:ascii="Arial" w:cs="Arial" w:eastAsia="Arial" w:hAnsi="Arial"/>
          <w:b/>
          <w:bCs/>
          <w:i/>
          <w:iCs/>
          <w:color w:val="595959"/>
          <w:sz w:val="20"/>
          <w:szCs w:val="20"/>
        </w:rPr>
        <w:t xml:space="preserve">Note: </w:t>
      </w:r>
      <w:r>
        <w:rPr>
          <w:rFonts w:ascii="Arial" w:cs="Arial" w:eastAsia="Arial" w:hAnsi="Arial"/>
          <w:i/>
          <w:iCs/>
          <w:color w:val="595959"/>
          <w:sz w:val="20"/>
          <w:szCs w:val="20"/>
        </w:rPr>
        <w:t xml:space="preserve">All projects are organized under a GCP Folder hierarchy: jhbi-org &gt; Environments (prod/staging/dev) &gt; Functional Groups. A Shared VPC host project provides private networking across all service projects.</w:t>
      </w:r>
    </w:p>
    <w:p>
      <w:pPr>
        <w:spacing w:before="60" w:after="60"/>
      </w:pPr>
      <w:r>
        <w:t xml:space="preserve"/>
      </w:r>
    </w:p>
    <w:p>
      <w:pPr>
        <w:pStyle w:val="Heading2"/>
        <w:spacing w:before="200" w:after="120"/>
      </w:pPr>
      <w:r>
        <w:rPr>
          <w:rFonts w:ascii="Arial" w:cs="Arial" w:eastAsia="Arial" w:hAnsi="Arial"/>
          <w:b/>
          <w:bCs/>
          <w:color w:val="2E75B6"/>
          <w:sz w:val="26"/>
          <w:szCs w:val="26"/>
        </w:rPr>
        <w:t xml:space="preserve">2.2 Shared Infrastructure</w:t>
      </w:r>
    </w:p>
    <w:p>
      <w:pPr>
        <w:pStyle w:val="ListParagraph"/>
        <w:numPr>
          <w:ilvl w:val="0"/>
          <w:numId w:val="2"/>
        </w:numPr>
        <w:spacing w:before="60" w:after="60"/>
      </w:pPr>
      <w:r>
        <w:rPr>
          <w:rFonts w:ascii="Arial" w:cs="Arial" w:eastAsia="Arial" w:hAnsi="Arial"/>
          <w:color w:val="1A1A1A"/>
          <w:sz w:val="22"/>
          <w:szCs w:val="22"/>
        </w:rPr>
        <w:t xml:space="preserve">Shared VPC Host Project (jhbi-network-prod): Centralized VPC, subnets, Cloud NAT, Cloud DNS, Private Service Connect endpoints for BigQuery</w:t>
      </w:r>
    </w:p>
    <w:p>
      <w:pPr>
        <w:pStyle w:val="ListParagraph"/>
        <w:numPr>
          <w:ilvl w:val="0"/>
          <w:numId w:val="2"/>
        </w:numPr>
        <w:spacing w:before="60" w:after="60"/>
      </w:pPr>
      <w:r>
        <w:rPr>
          <w:rFonts w:ascii="Arial" w:cs="Arial" w:eastAsia="Arial" w:hAnsi="Arial"/>
          <w:color w:val="1A1A1A"/>
          <w:sz w:val="22"/>
          <w:szCs w:val="22"/>
        </w:rPr>
        <w:t xml:space="preserve">Cloud Identity Organization: Central IAM with Google Groups for role assignments (no individual user bindings in prod)</w:t>
      </w:r>
    </w:p>
    <w:p>
      <w:pPr>
        <w:pStyle w:val="ListParagraph"/>
        <w:numPr>
          <w:ilvl w:val="0"/>
          <w:numId w:val="2"/>
        </w:numPr>
        <w:spacing w:before="60" w:after="60"/>
      </w:pPr>
      <w:r>
        <w:rPr>
          <w:rFonts w:ascii="Arial" w:cs="Arial" w:eastAsia="Arial" w:hAnsi="Arial"/>
          <w:color w:val="1A1A1A"/>
          <w:sz w:val="22"/>
          <w:szCs w:val="22"/>
        </w:rPr>
        <w:t xml:space="preserve">Organization Policies: Enforce domain-restricted sharing, require CMEK, deny public IPs on compute, restrict resource locations to us-central1 / us-east4</w:t>
      </w:r>
    </w:p>
    <w:p>
      <w:pPr>
        <w:pStyle w:val="ListParagraph"/>
        <w:numPr>
          <w:ilvl w:val="0"/>
          <w:numId w:val="2"/>
        </w:numPr>
        <w:spacing w:before="60" w:after="60"/>
      </w:pPr>
      <w:r>
        <w:rPr>
          <w:rFonts w:ascii="Arial" w:cs="Arial" w:eastAsia="Arial" w:hAnsi="Arial"/>
          <w:color w:val="1A1A1A"/>
          <w:sz w:val="22"/>
          <w:szCs w:val="22"/>
        </w:rPr>
        <w:t xml:space="preserve">VPC Service Controls: Single perimeter wrapping all jhbi-* projects — prevents data exfiltration from BigQuery and GCS</w:t>
      </w:r>
    </w:p>
    <w:p>
      <w:pPr>
        <w:spacing w:before="60" w:after="60"/>
      </w:pPr>
      <w:r>
        <w:t xml:space="preserve"/>
      </w:r>
    </w:p>
    <w:p>
      <w:pPr>
        <w:pStyle w:val="Heading1"/>
        <w:pageBreakBefore/>
        <w:spacing w:before="240" w:after="200"/>
      </w:pPr>
      <w:r>
        <w:rPr>
          <w:rFonts w:ascii="Arial" w:cs="Arial" w:eastAsia="Arial" w:hAnsi="Arial"/>
          <w:b/>
          <w:bCs/>
          <w:color w:val="1F4E79"/>
          <w:sz w:val="32"/>
          <w:szCs w:val="32"/>
        </w:rPr>
        <w:t xml:space="preserve">3. Data Ingestion Layer — CDC Pipeline</w:t>
      </w:r>
    </w:p>
    <w:p>
      <w:pPr>
        <w:spacing w:before="80" w:after="80"/>
      </w:pPr>
      <w:r>
        <w:rPr>
          <w:rFonts w:ascii="Arial" w:cs="Arial" w:eastAsia="Arial" w:hAnsi="Arial"/>
          <w:color w:val="1A1A1A"/>
          <w:sz w:val="22"/>
          <w:szCs w:val="22"/>
        </w:rPr>
        <w:t xml:space="preserve">The ingestion layer captures real-time and near-real-time changes from the four MVP payment source systems. PCI-scoped data (PANs, account numbers) is tokenized before any record lands in BigQuery, ensuring the raw zone is never in PCI scope.</w:t>
      </w:r>
    </w:p>
    <w:p>
      <w:pPr>
        <w:spacing w:before="60" w:after="60"/>
      </w:pPr>
      <w:r>
        <w:t xml:space="preserve"/>
      </w:r>
    </w:p>
    <w:p>
      <w:pPr>
        <w:pStyle w:val="Heading2"/>
        <w:spacing w:before="200" w:after="120"/>
      </w:pPr>
      <w:r>
        <w:rPr>
          <w:rFonts w:ascii="Arial" w:cs="Arial" w:eastAsia="Arial" w:hAnsi="Arial"/>
          <w:b/>
          <w:bCs/>
          <w:color w:val="2E75B6"/>
          <w:sz w:val="26"/>
          <w:szCs w:val="26"/>
        </w:rPr>
        <w:t xml:space="preserve">3.1 Source Systems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 System</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Payment Type</w:t>
            </w:r>
          </w:p>
        </w:tc>
        <w:tc>
          <w:tcPr>
            <w:tcW w:type="dxa" w:w="2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CDC Mechanism</w:t>
            </w:r>
          </w:p>
        </w:tc>
        <w:tc>
          <w:tcPr>
            <w:tcW w:type="dxa" w:w="2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EPS Ensenta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Check / RDC Deposits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GCP Datastream (PostgreSQL / MySQL logical replication)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Includes image-based deposit data; Check 21 / ICL records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EPS ACH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ACH Credits &amp; Debits (payroll, bill pay, P2P)</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GCP Datastream or Debezium on GKE</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NACHA-formatted; same-day ACH flag required in schema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PayCenter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FedNow, RTP, Zelle (P2P / A2A / B2B)</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GCP Datastream (Cloud SQL Postgres)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ISO 20022 native on FedNow; Rail Finder routing metadata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BillPay (iPay)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Consumer &amp; Business Bill Pay</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GCP Datastream or REST webhook via Pub/Sub ingest</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Card-funded bill pay requires PAN tokenization at ingest</w:t>
            </w:r>
          </w:p>
        </w:tc>
      </w:tr>
    </w:tbl>
    <w:p>
      <w:pPr>
        <w:spacing w:before="60" w:after="60"/>
      </w:pPr>
      <w:r>
        <w:t xml:space="preserve"/>
      </w:r>
    </w:p>
    <w:p>
      <w:pPr>
        <w:pStyle w:val="Heading2"/>
        <w:spacing w:before="200" w:after="120"/>
      </w:pPr>
      <w:r>
        <w:rPr>
          <w:rFonts w:ascii="Arial" w:cs="Arial" w:eastAsia="Arial" w:hAnsi="Arial"/>
          <w:b/>
          <w:bCs/>
          <w:color w:val="2E75B6"/>
          <w:sz w:val="26"/>
          <w:szCs w:val="26"/>
        </w:rPr>
        <w:t xml:space="preserve">3.2 CDC Pipeline Architecture</w:t>
      </w:r>
    </w:p>
    <w:p>
      <w:pPr>
        <w:spacing w:before="80" w:after="80"/>
      </w:pPr>
      <w:r>
        <w:rPr>
          <w:rFonts w:ascii="Arial" w:cs="Arial" w:eastAsia="Arial" w:hAnsi="Arial"/>
          <w:color w:val="1A1A1A"/>
          <w:sz w:val="22"/>
          <w:szCs w:val="22"/>
        </w:rPr>
        <w:t xml:space="preserve">The pipeline follows a standard cloud-native streaming pattern, ensuring exactly-once delivery semantics into the raw Bronze zone: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000"/>
        <w:gridCol w:w="47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Stage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GCP Service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Source Capture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GCP Datastream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Reads database transaction logs via logical replication (Postgres pglogical / MySQL binlog). Streams raw change events as JSON to Cloud Storage staging bucket or directly to Pub/Sub.</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Event Bus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 Pub/Sub</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Durable, ordered message bus. Separate topic per source system (jhbi.cdc.eps-ensenta, jhbi.cdc.eps-ach, jhbi.cdc.paycenter, jhbi.cdc.billpay). Dead-letter topics for failed events.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PCI Tokenization &amp; Transform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 Dataflow (Apache Beam) + Cloud DLP + Cloud KMS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Dataflow jobs consume from Pub/Sub. Cloud DLP inspects each record for PAN, routing numbers, SSN patterns. Format-preserving encryption (FPE) via KMS tokenizes sensitive fields. Output is PCI-clean change records.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Raw Landing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BigQuery (Bronze dataset) + Cloud Storage (raw archive)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Tokenized change records written to BigQuery Bronze tables partitioned by ingestion_date and fi_id. A full raw archive (pre-tokenization image) is retained in a locked GCS bucket for audit/forensics — CMEK encrypted, retention-locked.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Instrumentation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 Monitoring + Cloud Logging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Custom metrics: records per second per source, DLP findings count, tokenization latency, dead-letter queue depth. Alerting policies for pipeline lag &gt; 5 minutes.</w:t>
            </w:r>
          </w:p>
        </w:tc>
      </w:tr>
    </w:tbl>
    <w:p>
      <w:pPr>
        <w:spacing w:before="60" w:after="60"/>
      </w:pPr>
      <w:r>
        <w:t xml:space="preserve"/>
      </w:r>
    </w:p>
    <w:p>
      <w:pPr>
        <w:pStyle w:val="Heading2"/>
        <w:spacing w:before="200" w:after="120"/>
      </w:pPr>
      <w:r>
        <w:rPr>
          <w:rFonts w:ascii="Arial" w:cs="Arial" w:eastAsia="Arial" w:hAnsi="Arial"/>
          <w:b/>
          <w:bCs/>
          <w:color w:val="2E75B6"/>
          <w:sz w:val="26"/>
          <w:szCs w:val="26"/>
        </w:rPr>
        <w:t xml:space="preserve">3.3 PCI Tokenization Detail</w:t>
      </w:r>
    </w:p>
    <w:p>
      <w:pPr>
        <w:spacing w:before="80" w:after="80"/>
      </w:pPr>
      <w:r>
        <w:rPr>
          <w:rFonts w:ascii="Arial" w:cs="Arial" w:eastAsia="Arial" w:hAnsi="Arial"/>
          <w:color w:val="1A1A1A"/>
          <w:sz w:val="22"/>
          <w:szCs w:val="22"/>
        </w:rPr>
        <w:t xml:space="preserve">Because source payment systems contain card PANs, ACH routing/account numbers, and other PCI/PII data, tokenization occurs at stage 3 — inside the Dataflow job — before any data lands in BigQuery:</w:t>
      </w:r>
    </w:p>
    <w:p>
      <w:pPr>
        <w:spacing w:before="60" w:after="60"/>
      </w:pPr>
      <w:r>
        <w:t xml:space="preserve"/>
      </w:r>
    </w:p>
    <w:p>
      <w:pPr>
        <w:pStyle w:val="ListParagraph"/>
        <w:numPr>
          <w:ilvl w:val="0"/>
          <w:numId w:val="2"/>
        </w:numPr>
        <w:spacing w:before="60" w:after="60"/>
      </w:pPr>
      <w:r>
        <w:rPr>
          <w:rFonts w:ascii="Arial" w:cs="Arial" w:eastAsia="Arial" w:hAnsi="Arial"/>
          <w:color w:val="1A1A1A"/>
          <w:sz w:val="22"/>
          <w:szCs w:val="22"/>
        </w:rPr>
        <w:t xml:space="preserve">Cloud DLP InfoType Detectors: CREDIT_CARD_NUMBER, IBAN_CODE, US_BANK_ROUTING_MICR, US_SOCIAL_SECURITY_NUMBER, EMAIL_ADDRESS, PHONE_NUMBER</w:t>
      </w:r>
    </w:p>
    <w:p>
      <w:pPr>
        <w:pStyle w:val="ListParagraph"/>
        <w:numPr>
          <w:ilvl w:val="0"/>
          <w:numId w:val="2"/>
        </w:numPr>
        <w:spacing w:before="60" w:after="60"/>
      </w:pPr>
      <w:r>
        <w:rPr>
          <w:rFonts w:ascii="Arial" w:cs="Arial" w:eastAsia="Arial" w:hAnsi="Arial"/>
          <w:color w:val="1A1A1A"/>
          <w:sz w:val="22"/>
          <w:szCs w:val="22"/>
        </w:rPr>
        <w:t xml:space="preserve">Transformation: Format-Preserving Encryption (FPE-AES) for card PANs (preserves length/format for downstream analytics); SHA-256 hashing with HMAC for account and routing numbers; redaction for SSN in non-essential contexts</w:t>
      </w:r>
    </w:p>
    <w:p>
      <w:pPr>
        <w:pStyle w:val="ListParagraph"/>
        <w:numPr>
          <w:ilvl w:val="0"/>
          <w:numId w:val="2"/>
        </w:numPr>
        <w:spacing w:before="60" w:after="60"/>
      </w:pPr>
      <w:r>
        <w:rPr>
          <w:rFonts w:ascii="Arial" w:cs="Arial" w:eastAsia="Arial" w:hAnsi="Arial"/>
          <w:color w:val="1A1A1A"/>
          <w:sz w:val="22"/>
          <w:szCs w:val="22"/>
        </w:rPr>
        <w:t xml:space="preserve">Cloud KMS: Customer-Managed Encryption Keys (CMEK) in jhbi-security-prod project; automatic 90-day key rotation; separate key rings per data classification (PCI, PII, General)</w:t>
      </w:r>
    </w:p>
    <w:p>
      <w:pPr>
        <w:pStyle w:val="ListParagraph"/>
        <w:numPr>
          <w:ilvl w:val="0"/>
          <w:numId w:val="2"/>
        </w:numPr>
        <w:spacing w:before="60" w:after="60"/>
      </w:pPr>
      <w:r>
        <w:rPr>
          <w:rFonts w:ascii="Arial" w:cs="Arial" w:eastAsia="Arial" w:hAnsi="Arial"/>
          <w:color w:val="1A1A1A"/>
          <w:sz w:val="22"/>
          <w:szCs w:val="22"/>
        </w:rPr>
        <w:t xml:space="preserve">Token Vault: A separate mapping table in Cloud Spanner (jhbi-token-vault) holds FPE token-to-original mappings accessible only by authorized de-tokenization service accounts</w:t>
      </w:r>
    </w:p>
    <w:p>
      <w:pPr>
        <w:spacing w:before="60" w:after="60"/>
        <w:ind w:left="720"/>
      </w:pPr>
      <w:r>
        <w:rPr>
          <w:rFonts w:ascii="Arial" w:cs="Arial" w:eastAsia="Arial" w:hAnsi="Arial"/>
          <w:b/>
          <w:bCs/>
          <w:i/>
          <w:iCs/>
          <w:color w:val="595959"/>
          <w:sz w:val="20"/>
          <w:szCs w:val="20"/>
        </w:rPr>
        <w:t xml:space="preserve">Note: </w:t>
      </w:r>
      <w:r>
        <w:rPr>
          <w:rFonts w:ascii="Arial" w:cs="Arial" w:eastAsia="Arial" w:hAnsi="Arial"/>
          <w:i/>
          <w:iCs/>
          <w:color w:val="595959"/>
          <w:sz w:val="20"/>
          <w:szCs w:val="20"/>
        </w:rPr>
        <w:t xml:space="preserve">The BigQuery Bronze zone is explicitly NOT in PCI scope. The PCI boundary ends at the Dataflow tokenization stage. All downstream processing operates on tokenized values.</w:t>
      </w:r>
    </w:p>
    <w:p>
      <w:pPr>
        <w:spacing w:before="60" w:after="60"/>
      </w:pPr>
      <w:r>
        <w:t xml:space="preserve"/>
      </w:r>
    </w:p>
    <w:p>
      <w:pPr>
        <w:pStyle w:val="Heading1"/>
        <w:pageBreakBefore/>
        <w:spacing w:before="240" w:after="200"/>
      </w:pPr>
      <w:r>
        <w:rPr>
          <w:rFonts w:ascii="Arial" w:cs="Arial" w:eastAsia="Arial" w:hAnsi="Arial"/>
          <w:b/>
          <w:bCs/>
          <w:color w:val="1F4E79"/>
          <w:sz w:val="32"/>
          <w:szCs w:val="32"/>
        </w:rPr>
        <w:t xml:space="preserve">4. Data Lake — Medallion Architecture in BigQuery</w:t>
      </w:r>
    </w:p>
    <w:p>
      <w:pPr>
        <w:spacing w:before="80" w:after="80"/>
      </w:pPr>
      <w:r>
        <w:rPr>
          <w:rFonts w:ascii="Arial" w:cs="Arial" w:eastAsia="Arial" w:hAnsi="Arial"/>
          <w:color w:val="1A1A1A"/>
          <w:sz w:val="22"/>
          <w:szCs w:val="22"/>
        </w:rPr>
        <w:t xml:space="preserve">The data lake follows a three-layer Medallion pattern in BigQuery. Each layer has distinct data quality guarantees, retention policies, and access controls. All layers are partitioned by date and FI identifier to enforce multi-tenant isolation and query cost efficiency.</w:t>
      </w:r>
    </w:p>
    <w:p>
      <w:pPr>
        <w:spacing w:before="60" w:after="60"/>
      </w:pPr>
      <w:r>
        <w:t xml:space="preserve"/>
      </w:r>
    </w:p>
    <w:p>
      <w:pPr>
        <w:pStyle w:val="Heading2"/>
        <w:spacing w:before="200" w:after="120"/>
      </w:pPr>
      <w:r>
        <w:rPr>
          <w:rFonts w:ascii="Arial" w:cs="Arial" w:eastAsia="Arial" w:hAnsi="Arial"/>
          <w:b/>
          <w:bCs/>
          <w:color w:val="2E75B6"/>
          <w:sz w:val="26"/>
          <w:szCs w:val="26"/>
        </w:rPr>
        <w:t xml:space="preserve">4.1 Layer Summary</w:t>
      </w:r>
    </w:p>
    <w:p>
      <w:pPr>
        <w:spacing w:before="80" w:after="80"/>
      </w:pPr>
      <w:r>
        <w:rPr>
          <w:rFonts w:ascii="Arial" w:cs="Arial" w:eastAsia="Arial" w:hAnsi="Arial"/>
          <w:color w:val="1A1A1A"/>
          <w:sz w:val="22"/>
          <w:szCs w:val="22"/>
        </w:rPr>
        <w:t xml:space="preserve">The revised architecture uses four logical layers. Bronze and Silver are shared multi-tenant datasets; Gold is split into an internal cross-FI analytics layer and an external FI-facing layer served via Analytics Hub. This design scales to hundreds of FIs without dataset proliferation, while preserving a clear migration path to project-per-FI for enterprise clients.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700"/>
        <w:gridCol w:w="2280"/>
        <w:gridCol w:w="228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BigQuery Dataset</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Tenancy Model</w:t>
            </w:r>
          </w:p>
        </w:tc>
        <w:tc>
          <w:tcPr>
            <w:tcW w:type="dxa" w:w="2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Consumer</w:t>
            </w:r>
          </w:p>
        </w:tc>
        <w:tc>
          <w:tcPr>
            <w:tcW w:type="dxa" w:w="2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Refresh Target</w:t>
            </w:r>
          </w:p>
        </w:tc>
      </w:tr>
      <w:tr>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Bronze (Raw)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jhbi_bronze_{source_system}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Shared multi-tenant; fi_id on every row; partitioned by fi_id + date; no direct user access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CDC pipeline only — internal write path. PCI tokenized before landing.</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&lt; 5 min (near real-time CDC)</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808080"/>
                <w:sz w:val="20"/>
                <w:szCs w:val="20"/>
              </w:rPr>
              <w:t xml:space="preserve">Silver (Cleansed)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jhbi_silver_payments, jhbi_silver_accounts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Shared multi-tenant; fi_id on every row; BigQuery RLS enforces tenant isolation</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JH internal data engineers + data scientists. Cross-FI pattern analysis.</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&lt; 15 min (Dataform micro-batch)</w:t>
            </w:r>
          </w:p>
        </w:tc>
      </w:tr>
      <w:tr>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BF8F00"/>
                <w:sz w:val="20"/>
                <w:szCs w:val="20"/>
              </w:rPr>
              <w:t xml:space="preserve">Gold — Internal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jhbi_gold_internal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Shared multi-tenant; fi_id on every row; RLS for any FI-scoped access; cross-FI aggregates as Authorized Views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JH data science, Vertex AI, Looker, internal Power BI. Cross-FI aggregate analytics.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&lt; 30 min (scheduled Dataform)</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E75B6"/>
                <w:sz w:val="20"/>
                <w:szCs w:val="20"/>
              </w:rPr>
              <w:t xml:space="preserve">Gold — External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Analytics Hub listing per FI → linked dataset in FI's GCP project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Per-FI logical isolation via Analytics Hub linked datasets. FI queries their own linked dataset — appears as their own BigQuery tables.</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FI-facing: User Portal, REST APIs, Power BI semantic layer, FI data analysts. Migration path to project-per-FI.</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Linked dataset — no additional latency; reflects Gold Internal on next refresh</w:t>
            </w:r>
          </w:p>
        </w:tc>
      </w:tr>
    </w:tbl>
    <w:p>
      <w:pPr>
        <w:spacing w:before="60" w:after="60"/>
      </w:pPr>
      <w:r>
        <w:t xml:space="preserve"/>
      </w:r>
    </w:p>
    <w:p>
      <w:pPr>
        <w:pStyle w:val="Heading2"/>
        <w:spacing w:before="200" w:after="120"/>
      </w:pPr>
      <w:r>
        <w:rPr>
          <w:rFonts w:ascii="Arial" w:cs="Arial" w:eastAsia="Arial" w:hAnsi="Arial"/>
          <w:b/>
          <w:bCs/>
          <w:color w:val="2E75B6"/>
          <w:sz w:val="26"/>
          <w:szCs w:val="26"/>
        </w:rPr>
        <w:t xml:space="preserve">4.2 Bronze Layer Design</w:t>
      </w:r>
    </w:p>
    <w:p>
      <w:pPr>
        <w:spacing w:before="80" w:after="80"/>
      </w:pPr>
      <w:r>
        <w:rPr>
          <w:rFonts w:ascii="Arial" w:cs="Arial" w:eastAsia="Arial" w:hAnsi="Arial"/>
          <w:color w:val="1A1A1A"/>
          <w:sz w:val="22"/>
          <w:szCs w:val="22"/>
        </w:rPr>
        <w:t xml:space="preserve">Bronze uses shared, source-system-oriented datasets (jhbi_bronze_paycenter, jhbi_bronze_eps_ach, jhbi_bronze_eps_ensenta, jhbi_bronze_billpay) rather than per-FI datasets. This simplifies ingestion operations — all FI data from a given source lands in one dataset, partitioned and clustered by fi_id. Every table schema includes:</w:t>
      </w:r>
    </w:p>
    <w:p>
      <w:pPr>
        <w:spacing w:before="60" w:after="60"/>
      </w:pPr>
      <w:r>
        <w:t xml:space="preserve"/>
      </w:r>
    </w:p>
    <w:p>
      <w:pPr>
        <w:pStyle w:val="ListParagraph"/>
        <w:numPr>
          <w:ilvl w:val="0"/>
          <w:numId w:val="2"/>
        </w:numPr>
        <w:spacing w:before="60" w:after="60"/>
      </w:pPr>
      <w:r>
        <w:rPr>
          <w:rFonts w:ascii="Arial" w:cs="Arial" w:eastAsia="Arial" w:hAnsi="Arial"/>
          <w:color w:val="1A1A1A"/>
          <w:sz w:val="22"/>
          <w:szCs w:val="22"/>
        </w:rPr>
        <w:t xml:space="preserve">fi_id (STRING, NOT NULL): FI tenant identifier — present on every single row across all tables</w:t>
      </w:r>
    </w:p>
    <w:p>
      <w:pPr>
        <w:pStyle w:val="ListParagraph"/>
        <w:numPr>
          <w:ilvl w:val="0"/>
          <w:numId w:val="2"/>
        </w:numPr>
        <w:spacing w:before="60" w:after="60"/>
      </w:pPr>
      <w:r>
        <w:rPr>
          <w:rFonts w:ascii="Arial" w:cs="Arial" w:eastAsia="Arial" w:hAnsi="Arial"/>
          <w:color w:val="1A1A1A"/>
          <w:sz w:val="22"/>
          <w:szCs w:val="22"/>
        </w:rPr>
        <w:t xml:space="preserve">cdc_op (STRING): Operation type — INSERT, UPDATE, DELETE</w:t>
      </w:r>
    </w:p>
    <w:p>
      <w:pPr>
        <w:pStyle w:val="ListParagraph"/>
        <w:numPr>
          <w:ilvl w:val="0"/>
          <w:numId w:val="2"/>
        </w:numPr>
        <w:spacing w:before="60" w:after="60"/>
      </w:pPr>
      <w:r>
        <w:rPr>
          <w:rFonts w:ascii="Arial" w:cs="Arial" w:eastAsia="Arial" w:hAnsi="Arial"/>
          <w:color w:val="1A1A1A"/>
          <w:sz w:val="22"/>
          <w:szCs w:val="22"/>
        </w:rPr>
        <w:t xml:space="preserve">cdc_timestamp (TIMESTAMP): When the change was captured at the source</w:t>
      </w:r>
    </w:p>
    <w:p>
      <w:pPr>
        <w:pStyle w:val="ListParagraph"/>
        <w:numPr>
          <w:ilvl w:val="0"/>
          <w:numId w:val="2"/>
        </w:numPr>
        <w:spacing w:before="60" w:after="60"/>
      </w:pPr>
      <w:r>
        <w:rPr>
          <w:rFonts w:ascii="Arial" w:cs="Arial" w:eastAsia="Arial" w:hAnsi="Arial"/>
          <w:color w:val="1A1A1A"/>
          <w:sz w:val="22"/>
          <w:szCs w:val="22"/>
        </w:rPr>
        <w:t xml:space="preserve">ingestion_timestamp (TIMESTAMP): When the record landed in BigQuery</w:t>
      </w:r>
    </w:p>
    <w:p>
      <w:pPr>
        <w:pStyle w:val="ListParagraph"/>
        <w:numPr>
          <w:ilvl w:val="0"/>
          <w:numId w:val="2"/>
        </w:numPr>
        <w:spacing w:before="60" w:after="60"/>
      </w:pPr>
      <w:r>
        <w:rPr>
          <w:rFonts w:ascii="Arial" w:cs="Arial" w:eastAsia="Arial" w:hAnsi="Arial"/>
          <w:color w:val="1A1A1A"/>
          <w:sz w:val="22"/>
          <w:szCs w:val="22"/>
        </w:rPr>
        <w:t xml:space="preserve">source_system (STRING): Source application identifier (eps_ensenta, eps_ach, paycenter, billpay)</w:t>
      </w:r>
    </w:p>
    <w:p>
      <w:pPr>
        <w:pStyle w:val="ListParagraph"/>
        <w:numPr>
          <w:ilvl w:val="0"/>
          <w:numId w:val="2"/>
        </w:numPr>
        <w:spacing w:before="60" w:after="60"/>
      </w:pPr>
      <w:r>
        <w:rPr>
          <w:rFonts w:ascii="Arial" w:cs="Arial" w:eastAsia="Arial" w:hAnsi="Arial"/>
          <w:color w:val="1A1A1A"/>
          <w:sz w:val="22"/>
          <w:szCs w:val="22"/>
        </w:rPr>
        <w:t xml:space="preserve">source_record_id (STRING): Natural key from source system</w:t>
      </w:r>
    </w:p>
    <w:p>
      <w:pPr>
        <w:pStyle w:val="ListParagraph"/>
        <w:numPr>
          <w:ilvl w:val="0"/>
          <w:numId w:val="2"/>
        </w:numPr>
        <w:spacing w:before="60" w:after="60"/>
      </w:pPr>
      <w:r>
        <w:rPr>
          <w:rFonts w:ascii="Arial" w:cs="Arial" w:eastAsia="Arial" w:hAnsi="Arial"/>
          <w:color w:val="1A1A1A"/>
          <w:sz w:val="22"/>
          <w:szCs w:val="22"/>
        </w:rPr>
        <w:t xml:space="preserve">payload (JSON): Full tokenized row as JSON — schema-on-read for maximum flexibility</w:t>
      </w:r>
    </w:p>
    <w:p>
      <w:pPr>
        <w:pStyle w:val="ListParagraph"/>
        <w:numPr>
          <w:ilvl w:val="0"/>
          <w:numId w:val="2"/>
        </w:numPr>
        <w:spacing w:before="60" w:after="60"/>
      </w:pPr>
      <w:r>
        <w:rPr>
          <w:rFonts w:ascii="Arial" w:cs="Arial" w:eastAsia="Arial" w:hAnsi="Arial"/>
          <w:color w:val="1A1A1A"/>
          <w:sz w:val="22"/>
          <w:szCs w:val="22"/>
        </w:rPr>
        <w:t xml:space="preserve">_partitiontime (DATE): BigQuery partition column; tables partitioned by ingestion_date, clustered by fi_id and source_system</w:t>
      </w:r>
    </w:p>
    <w:p>
      <w:pPr>
        <w:spacing w:before="60" w:after="60"/>
      </w:pPr>
      <w:r>
        <w:t xml:space="preserve"/>
      </w:r>
    </w:p>
    <w:p>
      <w:pPr>
        <w:spacing w:before="60" w:after="60"/>
        <w:ind w:left="720"/>
      </w:pPr>
      <w:r>
        <w:rPr>
          <w:rFonts w:ascii="Arial" w:cs="Arial" w:eastAsia="Arial" w:hAnsi="Arial"/>
          <w:b/>
          <w:bCs/>
          <w:i/>
          <w:iCs/>
          <w:color w:val="595959"/>
          <w:sz w:val="20"/>
          <w:szCs w:val="20"/>
        </w:rPr>
        <w:t xml:space="preserve">Note: </w:t>
      </w:r>
      <w:r>
        <w:rPr>
          <w:rFonts w:ascii="Arial" w:cs="Arial" w:eastAsia="Arial" w:hAnsi="Arial"/>
          <w:i/>
          <w:iCs/>
          <w:color w:val="595959"/>
          <w:sz w:val="20"/>
          <w:szCs w:val="20"/>
        </w:rPr>
        <w:t xml:space="preserve">Bronze tables are append-only and immutable. They serve as the system of record for replay and reprocessing. Retention policy: 7 years (configurable per compliance requirements).</w:t>
      </w:r>
    </w:p>
    <w:p>
      <w:pPr>
        <w:spacing w:before="60" w:after="60"/>
      </w:pPr>
      <w:r>
        <w:t xml:space="preserve"/>
      </w:r>
    </w:p>
    <w:p>
      <w:pPr>
        <w:pStyle w:val="Heading2"/>
        <w:spacing w:before="200" w:after="120"/>
      </w:pPr>
      <w:r>
        <w:rPr>
          <w:rFonts w:ascii="Arial" w:cs="Arial" w:eastAsia="Arial" w:hAnsi="Arial"/>
          <w:b/>
          <w:bCs/>
          <w:color w:val="2E75B6"/>
          <w:sz w:val="26"/>
          <w:szCs w:val="26"/>
        </w:rPr>
        <w:t xml:space="preserve">4.3 Silver Layer Design</w:t>
      </w:r>
    </w:p>
    <w:p>
      <w:pPr>
        <w:spacing w:before="80" w:after="80"/>
      </w:pPr>
      <w:r>
        <w:rPr>
          <w:rFonts w:ascii="Arial" w:cs="Arial" w:eastAsia="Arial" w:hAnsi="Arial"/>
          <w:color w:val="1A1A1A"/>
          <w:sz w:val="22"/>
          <w:szCs w:val="22"/>
        </w:rPr>
        <w:t xml:space="preserve">Silver datasets apply Dataform transformations to produce normalized, validated records aligned to the JHBI unified payment schema (based on BIAN and ISO 20022 structures). Key design decisions:</w:t>
      </w:r>
    </w:p>
    <w:p>
      <w:pPr>
        <w:spacing w:before="60" w:after="60"/>
      </w:pPr>
      <w:r>
        <w:t xml:space="preserve"/>
      </w:r>
    </w:p>
    <w:p>
      <w:pPr>
        <w:pStyle w:val="ListParagraph"/>
        <w:numPr>
          <w:ilvl w:val="0"/>
          <w:numId w:val="2"/>
        </w:numPr>
        <w:spacing w:before="60" w:after="60"/>
      </w:pPr>
      <w:r>
        <w:rPr>
          <w:rFonts w:ascii="Arial" w:cs="Arial" w:eastAsia="Arial" w:hAnsi="Arial"/>
          <w:color w:val="1A1A1A"/>
          <w:sz w:val="22"/>
          <w:szCs w:val="22"/>
        </w:rPr>
        <w:t xml:space="preserve">Unified Payment Transaction Table (upt_transaction): Single canonical table spanning all payment rails — ACH, Check/RDC, FedNow, RTP, Zelle, BillPay — with payment_rail, payment_type, and payment_subtype discriminators</w:t>
      </w:r>
    </w:p>
    <w:p>
      <w:pPr>
        <w:pStyle w:val="ListParagraph"/>
        <w:numPr>
          <w:ilvl w:val="0"/>
          <w:numId w:val="2"/>
        </w:numPr>
        <w:spacing w:before="60" w:after="60"/>
      </w:pPr>
      <w:r>
        <w:rPr>
          <w:rFonts w:ascii="Arial" w:cs="Arial" w:eastAsia="Arial" w:hAnsi="Arial"/>
          <w:color w:val="1A1A1A"/>
          <w:sz w:val="22"/>
          <w:szCs w:val="22"/>
        </w:rPr>
        <w:t xml:space="preserve">BIAN-aligned Entity Tables: account_master, customer_master, household_master with standardized attribute names</w:t>
      </w:r>
    </w:p>
    <w:p>
      <w:pPr>
        <w:pStyle w:val="ListParagraph"/>
        <w:numPr>
          <w:ilvl w:val="0"/>
          <w:numId w:val="2"/>
        </w:numPr>
        <w:spacing w:before="60" w:after="60"/>
      </w:pPr>
      <w:r>
        <w:rPr>
          <w:rFonts w:ascii="Arial" w:cs="Arial" w:eastAsia="Arial" w:hAnsi="Arial"/>
          <w:color w:val="1A1A1A"/>
          <w:sz w:val="22"/>
          <w:szCs w:val="22"/>
        </w:rPr>
        <w:t xml:space="preserve">Referential Integrity: Source-system foreign keys retained alongside resolved entity IDs (entity_account_id, entity_customer_id, entity_household_id) for lineage</w:t>
      </w:r>
    </w:p>
    <w:p>
      <w:pPr>
        <w:pStyle w:val="ListParagraph"/>
        <w:numPr>
          <w:ilvl w:val="0"/>
          <w:numId w:val="2"/>
        </w:numPr>
        <w:spacing w:before="60" w:after="60"/>
      </w:pPr>
      <w:r>
        <w:rPr>
          <w:rFonts w:ascii="Arial" w:cs="Arial" w:eastAsia="Arial" w:hAnsi="Arial"/>
          <w:color w:val="1A1A1A"/>
          <w:sz w:val="22"/>
          <w:szCs w:val="22"/>
        </w:rPr>
        <w:t xml:space="preserve">Data Quality Rules enforced via Dataplex Data Quality checks on every Silver write (null checks, referential checks, range checks, format checks)</w:t>
      </w:r>
    </w:p>
    <w:p>
      <w:pPr>
        <w:pStyle w:val="ListParagraph"/>
        <w:numPr>
          <w:ilvl w:val="0"/>
          <w:numId w:val="2"/>
        </w:numPr>
        <w:spacing w:before="60" w:after="60"/>
      </w:pPr>
      <w:r>
        <w:rPr>
          <w:rFonts w:ascii="Arial" w:cs="Arial" w:eastAsia="Arial" w:hAnsi="Arial"/>
          <w:color w:val="1A1A1A"/>
          <w:sz w:val="22"/>
          <w:szCs w:val="22"/>
        </w:rPr>
        <w:t xml:space="preserve">ISO 20022 alignment: payment_amount uses Money complex type (amount + currency_code); timestamps include both initiated_at and settled_at aligned to ISO 20022 lifecycle</w:t>
      </w:r>
    </w:p>
    <w:p>
      <w:pPr>
        <w:spacing w:before="60" w:after="60"/>
      </w:pPr>
      <w:r>
        <w:t xml:space="preserve"/>
      </w:r>
    </w:p>
    <w:p>
      <w:pPr>
        <w:pStyle w:val="Heading2"/>
        <w:spacing w:before="200" w:after="120"/>
      </w:pPr>
      <w:r>
        <w:rPr>
          <w:rFonts w:ascii="Arial" w:cs="Arial" w:eastAsia="Arial" w:hAnsi="Arial"/>
          <w:b/>
          <w:bCs/>
          <w:color w:val="2E75B6"/>
          <w:sz w:val="26"/>
          <w:szCs w:val="26"/>
        </w:rPr>
        <w:t xml:space="preserve">4.4 Gold Internal Layer — JH Cross-FI Analytics</w:t>
      </w:r>
    </w:p>
    <w:p>
      <w:pPr>
        <w:spacing w:before="80" w:after="80"/>
      </w:pPr>
      <w:r>
        <w:rPr>
          <w:rFonts w:ascii="Arial" w:cs="Arial" w:eastAsia="Arial" w:hAnsi="Arial"/>
          <w:color w:val="1A1A1A"/>
          <w:sz w:val="22"/>
          <w:szCs w:val="22"/>
        </w:rPr>
        <w:t xml:space="preserve">The Gold Internal dataset (jhbi_gold_internal) is a shared multi-tenant dataset serving Jack Henry's internal data science, analytics, and product teams. It is never directly accessible to FI clients. Key design decisions:</w:t>
      </w:r>
    </w:p>
    <w:p>
      <w:pPr>
        <w:spacing w:before="60" w:after="60"/>
      </w:pPr>
      <w:r>
        <w:t xml:space="preserve"/>
      </w:r>
    </w:p>
    <w:p>
      <w:pPr>
        <w:pStyle w:val="ListParagraph"/>
        <w:numPr>
          <w:ilvl w:val="0"/>
          <w:numId w:val="2"/>
        </w:numPr>
        <w:spacing w:before="60" w:after="60"/>
      </w:pPr>
      <w:r>
        <w:rPr>
          <w:rFonts w:ascii="Arial" w:cs="Arial" w:eastAsia="Arial" w:hAnsi="Arial"/>
          <w:color w:val="1A1A1A"/>
          <w:sz w:val="22"/>
          <w:szCs w:val="22"/>
        </w:rPr>
        <w:t xml:space="preserve">Fact Tables: fact_payment_transactions, fact_daily_payment_summary, fact_customer_payment_activity — each with fi_id on every row</w:t>
      </w:r>
    </w:p>
    <w:p>
      <w:pPr>
        <w:pStyle w:val="ListParagraph"/>
        <w:numPr>
          <w:ilvl w:val="0"/>
          <w:numId w:val="2"/>
        </w:numPr>
        <w:spacing w:before="60" w:after="60"/>
      </w:pPr>
      <w:r>
        <w:rPr>
          <w:rFonts w:ascii="Arial" w:cs="Arial" w:eastAsia="Arial" w:hAnsi="Arial"/>
          <w:color w:val="1A1A1A"/>
          <w:sz w:val="22"/>
          <w:szCs w:val="22"/>
        </w:rPr>
        <w:t xml:space="preserve">Dimension Tables: dim_account, dim_customer, dim_household, dim_payment_rail, dim_time, dim_financial_institution (shared, referenced by all FIs)</w:t>
      </w:r>
    </w:p>
    <w:p>
      <w:pPr>
        <w:pStyle w:val="ListParagraph"/>
        <w:numPr>
          <w:ilvl w:val="0"/>
          <w:numId w:val="2"/>
        </w:numPr>
        <w:spacing w:before="60" w:after="60"/>
      </w:pPr>
      <w:r>
        <w:rPr>
          <w:rFonts w:ascii="Arial" w:cs="Arial" w:eastAsia="Arial" w:hAnsi="Arial"/>
          <w:color w:val="1A1A1A"/>
          <w:sz w:val="22"/>
          <w:szCs w:val="22"/>
        </w:rPr>
        <w:t xml:space="preserve">Entity Resolution Applied: All fact rows reference resolved entity_customer_id, entity_household_id from Spanner MDM</w:t>
      </w:r>
    </w:p>
    <w:p>
      <w:pPr>
        <w:pStyle w:val="ListParagraph"/>
        <w:numPr>
          <w:ilvl w:val="0"/>
          <w:numId w:val="2"/>
        </w:numPr>
        <w:spacing w:before="60" w:after="60"/>
      </w:pPr>
      <w:r>
        <w:rPr>
          <w:rFonts w:ascii="Arial" w:cs="Arial" w:eastAsia="Arial" w:hAnsi="Arial"/>
          <w:color w:val="1A1A1A"/>
          <w:sz w:val="22"/>
          <w:szCs w:val="22"/>
        </w:rPr>
        <w:t xml:space="preserve">RLS on fi_id: BigQuery Row Access Policies on any views that could return per-FI data to internal analysts below admin level</w:t>
      </w:r>
    </w:p>
    <w:p>
      <w:pPr>
        <w:pStyle w:val="ListParagraph"/>
        <w:numPr>
          <w:ilvl w:val="0"/>
          <w:numId w:val="2"/>
        </w:numPr>
        <w:spacing w:before="60" w:after="60"/>
      </w:pPr>
      <w:r>
        <w:rPr>
          <w:rFonts w:ascii="Arial" w:cs="Arial" w:eastAsia="Arial" w:hAnsi="Arial"/>
          <w:color w:val="1A1A1A"/>
          <w:sz w:val="22"/>
          <w:szCs w:val="22"/>
        </w:rPr>
        <w:t xml:space="preserve">Cross-FI Authorized Views: Aggregate views (total volume by rail, FI cohort analysis, anomaly signals) exposed without fi_id — analysts see network-level patterns only</w:t>
      </w:r>
    </w:p>
    <w:p>
      <w:pPr>
        <w:pStyle w:val="ListParagraph"/>
        <w:numPr>
          <w:ilvl w:val="0"/>
          <w:numId w:val="2"/>
        </w:numPr>
        <w:spacing w:before="60" w:after="60"/>
      </w:pPr>
      <w:r>
        <w:rPr>
          <w:rFonts w:ascii="Arial" w:cs="Arial" w:eastAsia="Arial" w:hAnsi="Arial"/>
          <w:color w:val="1A1A1A"/>
          <w:sz w:val="22"/>
          <w:szCs w:val="22"/>
        </w:rPr>
        <w:t xml:space="preserve">Vertex AI Integration: jhbi_gold_internal is the primary training and inference dataset for JH data science notebooks in Vertex AI Workbench</w:t>
      </w:r>
    </w:p>
    <w:p>
      <w:pPr>
        <w:pStyle w:val="ListParagraph"/>
        <w:numPr>
          <w:ilvl w:val="0"/>
          <w:numId w:val="2"/>
        </w:numPr>
        <w:spacing w:before="60" w:after="60"/>
      </w:pPr>
      <w:r>
        <w:rPr>
          <w:rFonts w:ascii="Arial" w:cs="Arial" w:eastAsia="Arial" w:hAnsi="Arial"/>
          <w:color w:val="1A1A1A"/>
          <w:sz w:val="22"/>
          <w:szCs w:val="22"/>
        </w:rPr>
        <w:t xml:space="preserve">Surrogate Keys: Fact rows use surrogate keys (transaction_sk) to decouple from source system natural keys — enables stable joins across Gold layers</w:t>
      </w:r>
    </w:p>
    <w:p>
      <w:pPr>
        <w:spacing w:before="60" w:after="60"/>
      </w:pPr>
      <w:r>
        <w:t xml:space="preserve"/>
      </w:r>
    </w:p>
    <w:p>
      <w:pPr>
        <w:pStyle w:val="Heading2"/>
        <w:spacing w:before="200" w:after="120"/>
      </w:pPr>
      <w:r>
        <w:rPr>
          <w:rFonts w:ascii="Arial" w:cs="Arial" w:eastAsia="Arial" w:hAnsi="Arial"/>
          <w:b/>
          <w:bCs/>
          <w:color w:val="2E75B6"/>
          <w:sz w:val="26"/>
          <w:szCs w:val="26"/>
        </w:rPr>
        <w:t xml:space="preserve">4.5 Gold External Layer — Analytics Hub Per-FI</w:t>
      </w:r>
    </w:p>
    <w:p>
      <w:pPr>
        <w:spacing w:before="80" w:after="80"/>
      </w:pPr>
      <w:r>
        <w:rPr>
          <w:rFonts w:ascii="Arial" w:cs="Arial" w:eastAsia="Arial" w:hAnsi="Arial"/>
          <w:color w:val="1A1A1A"/>
          <w:sz w:val="22"/>
          <w:szCs w:val="22"/>
        </w:rPr>
        <w:t xml:space="preserve">External FI access to Gold data is served exclusively through Google Analytics Hub. JHBI maintains a single canonical source in jhbi_gold_internal and creates an Analytics Hub listing per FI. The FI subscribes and receives a linked dataset that lives inside their own GCP project — it looks and behaves exactly like their own BigQuery tables.</w:t>
      </w:r>
    </w:p>
    <w:p>
      <w:pPr>
        <w:spacing w:before="60" w:after="60"/>
      </w:pPr>
      <w:r>
        <w:t xml:space="preserve"/>
      </w:r>
    </w:p>
    <w:p>
      <w:pPr>
        <w:pStyle w:val="ListParagraph"/>
        <w:numPr>
          <w:ilvl w:val="0"/>
          <w:numId w:val="2"/>
        </w:numPr>
        <w:spacing w:before="60" w:after="60"/>
      </w:pPr>
      <w:r>
        <w:rPr>
          <w:rFonts w:ascii="Arial" w:cs="Arial" w:eastAsia="Arial" w:hAnsi="Arial"/>
          <w:color w:val="1A1A1A"/>
          <w:sz w:val="22"/>
          <w:szCs w:val="22"/>
        </w:rPr>
        <w:t xml:space="preserve">Analytics Hub Publisher: JHBI creates one Exchange per environment (jhbi-analytics-hub-prod). One Listing per FI, configured with fi_id-filtered authorized view as the source</w:t>
      </w:r>
    </w:p>
    <w:p>
      <w:pPr>
        <w:pStyle w:val="ListParagraph"/>
        <w:numPr>
          <w:ilvl w:val="0"/>
          <w:numId w:val="2"/>
        </w:numPr>
        <w:spacing w:before="60" w:after="60"/>
      </w:pPr>
      <w:r>
        <w:rPr>
          <w:rFonts w:ascii="Arial" w:cs="Arial" w:eastAsia="Arial" w:hAnsi="Arial"/>
          <w:color w:val="1A1A1A"/>
          <w:sz w:val="22"/>
          <w:szCs w:val="22"/>
        </w:rPr>
        <w:t xml:space="preserve">FI Subscriber: Each FI subscribes via their GCP project. Their linked dataset (e.g., acme-bank-gcp.jhbi_gold_linked) contains the same schema as jhbi_gold_internal but returns only their fi_id rows — enforced by the authorized view backing the listing</w:t>
      </w:r>
    </w:p>
    <w:p>
      <w:pPr>
        <w:pStyle w:val="ListParagraph"/>
        <w:numPr>
          <w:ilvl w:val="0"/>
          <w:numId w:val="2"/>
        </w:numPr>
        <w:spacing w:before="60" w:after="60"/>
      </w:pPr>
      <w:r>
        <w:rPr>
          <w:rFonts w:ascii="Arial" w:cs="Arial" w:eastAsia="Arial" w:hAnsi="Arial"/>
          <w:color w:val="1A1A1A"/>
          <w:sz w:val="22"/>
          <w:szCs w:val="22"/>
        </w:rPr>
        <w:t xml:space="preserve">FI Query Experience: FI data engineers and analysts run standard BigQuery SQL in their own project. No JHBI project IAM required post-subscription. Their Power BI, portal, and API queries all reference their own project</w:t>
      </w:r>
    </w:p>
    <w:p>
      <w:pPr>
        <w:pStyle w:val="ListParagraph"/>
        <w:numPr>
          <w:ilvl w:val="0"/>
          <w:numId w:val="2"/>
        </w:numPr>
        <w:spacing w:before="60" w:after="60"/>
      </w:pPr>
      <w:r>
        <w:rPr>
          <w:rFonts w:ascii="Arial" w:cs="Arial" w:eastAsia="Arial" w:hAnsi="Arial"/>
          <w:color w:val="1A1A1A"/>
          <w:sz w:val="22"/>
          <w:szCs w:val="22"/>
        </w:rPr>
        <w:t xml:space="preserve">Migration Path to Project-per-FI: When an enterprise FI requires dedicated project isolation, their Analytics Hub linked dataset is promoted to a fully replicated dataset in their dedicated JHBI-managed project. Their downstream integrations do not change — same table names, same query syntax</w:t>
      </w:r>
    </w:p>
    <w:p>
      <w:pPr>
        <w:pStyle w:val="ListParagraph"/>
        <w:numPr>
          <w:ilvl w:val="0"/>
          <w:numId w:val="2"/>
        </w:numPr>
        <w:spacing w:before="60" w:after="60"/>
      </w:pPr>
      <w:r>
        <w:rPr>
          <w:rFonts w:ascii="Arial" w:cs="Arial" w:eastAsia="Arial" w:hAnsi="Arial"/>
          <w:color w:val="1A1A1A"/>
          <w:sz w:val="22"/>
          <w:szCs w:val="22"/>
        </w:rPr>
        <w:t xml:space="preserve">No Data Duplication at Rest: The linked dataset does not copy data — it reads live from the authorized view. Storage costs remain in JHBI's project</w:t>
      </w:r>
    </w:p>
    <w:p>
      <w:pPr>
        <w:spacing w:before="60" w:after="60"/>
      </w:pPr>
      <w:r>
        <w:t xml:space="preserve"/>
      </w:r>
    </w:p>
    <w:p>
      <w:pPr>
        <w:spacing w:before="60" w:after="60"/>
        <w:ind w:left="720"/>
      </w:pPr>
      <w:r>
        <w:rPr>
          <w:rFonts w:ascii="Arial" w:cs="Arial" w:eastAsia="Arial" w:hAnsi="Arial"/>
          <w:b/>
          <w:bCs/>
          <w:i/>
          <w:iCs/>
          <w:color w:val="595959"/>
          <w:sz w:val="20"/>
          <w:szCs w:val="20"/>
        </w:rPr>
        <w:t xml:space="preserve">Note: </w:t>
      </w:r>
      <w:r>
        <w:rPr>
          <w:rFonts w:ascii="Arial" w:cs="Arial" w:eastAsia="Arial" w:hAnsi="Arial"/>
          <w:i/>
          <w:iCs/>
          <w:color w:val="595959"/>
          <w:sz w:val="20"/>
          <w:szCs w:val="20"/>
        </w:rPr>
        <w:t xml:space="preserve">Analytics Hub is the architectural bridge between the shared-dataset MVP model and the eventual project-per-FI end state. External FI integrations built against their linked dataset will continue to work unchanged when migrated to a dedicated project.</w:t>
      </w:r>
    </w:p>
    <w:p>
      <w:pPr>
        <w:spacing w:before="60" w:after="60"/>
      </w:pPr>
      <w:r>
        <w:t xml:space="preserve"/>
      </w:r>
    </w:p>
    <w:p>
      <w:pPr>
        <w:pStyle w:val="Heading2"/>
        <w:spacing w:before="200" w:after="120"/>
      </w:pPr>
      <w:r>
        <w:rPr>
          <w:rFonts w:ascii="Arial" w:cs="Arial" w:eastAsia="Arial" w:hAnsi="Arial"/>
          <w:b/>
          <w:bCs/>
          <w:color w:val="2E75B6"/>
          <w:sz w:val="26"/>
          <w:szCs w:val="26"/>
        </w:rPr>
        <w:t xml:space="preserve">4.6 Sample Transaction Data Flow Through Layers</w:t>
      </w:r>
    </w:p>
    <w:p>
      <w:pPr>
        <w:spacing w:before="80" w:after="80"/>
      </w:pPr>
      <w:r>
        <w:rPr>
          <w:rFonts w:ascii="Arial" w:cs="Arial" w:eastAsia="Arial" w:hAnsi="Arial"/>
          <w:color w:val="1A1A1A"/>
          <w:sz w:val="22"/>
          <w:szCs w:val="22"/>
        </w:rPr>
        <w:t xml:space="preserve">The following tables trace a single $1,500 FedNow payment from PayCenter (initiated by a customer of Acme Bank, FI identifier: acme_bank_001) through each layer of the pipeline. Fields marked with (★) are new at that layer; fields marked with (●) are tokenized.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980"/>
        <w:gridCol w:w="1980"/>
        <w:gridCol w:w="18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 / Attribute</w:t>
            </w:r>
          </w:p>
        </w:tc>
        <w:tc>
          <w:tcPr>
            <w:tcW w:type="dxa" w:w="18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20"/>
                <w:szCs w:val="20"/>
              </w:rPr>
              <w:t xml:space="preserve">BRONZE</w:t>
            </w:r>
            <w:r>
              <w:rPr>
                <w:rFonts w:ascii="Arial" w:cs="Arial" w:eastAsia="Arial" w:hAnsi="Arial"/>
                <w:color w:val="FFFFFF"/>
                <w:sz w:val="16"/>
                <w:szCs w:val="16"/>
              </w:rPr>
              <w:t xml:space="preserve">
jhbi_bronze_paycenter</w:t>
            </w:r>
          </w:p>
        </w:tc>
        <w:tc>
          <w:tcPr>
            <w:tcW w:type="dxa" w:w="198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tcPr>
          <w:p>
            <w:r>
              <w:rPr>
                <w:rFonts w:ascii="Arial" w:cs="Arial" w:eastAsia="Arial" w:hAnsi="Arial"/>
                <w:b/>
                <w:bCs/>
                <w:color w:val="FFFFFF"/>
                <w:sz w:val="20"/>
                <w:szCs w:val="20"/>
              </w:rPr>
              <w:t xml:space="preserve">SILVER</w:t>
            </w:r>
            <w:r>
              <w:rPr>
                <w:rFonts w:ascii="Arial" w:cs="Arial" w:eastAsia="Arial" w:hAnsi="Arial"/>
                <w:color w:val="FFFFFF"/>
                <w:sz w:val="16"/>
                <w:szCs w:val="16"/>
              </w:rPr>
              <w:t xml:space="preserve">
jhbi_silver_payments</w:t>
            </w:r>
          </w:p>
        </w:tc>
        <w:tc>
          <w:tcPr>
            <w:tcW w:type="dxa" w:w="1980"/>
            <w:tcBorders>
              <w:top w:val="single" w:color="CCCCCC" w:sz="1"/>
              <w:left w:val="single" w:color="CCCCCC" w:sz="1"/>
              <w:bottom w:val="single" w:color="CCCCCC" w:sz="1"/>
              <w:right w:val="single" w:color="CCCCCC" w:sz="1"/>
            </w:tcBorders>
            <w:shd w:fill="BF8F00" w:val="clear"/>
            <w:tcMar>
              <w:top w:type="dxa" w:w="80"/>
              <w:left w:type="dxa" w:w="120"/>
              <w:bottom w:type="dxa" w:w="80"/>
              <w:right w:type="dxa" w:w="120"/>
            </w:tcMar>
          </w:tcPr>
          <w:p>
            <w:r>
              <w:rPr>
                <w:rFonts w:ascii="Arial" w:cs="Arial" w:eastAsia="Arial" w:hAnsi="Arial"/>
                <w:b/>
                <w:bCs/>
                <w:color w:val="FFFFFF"/>
                <w:sz w:val="20"/>
                <w:szCs w:val="20"/>
              </w:rPr>
              <w:t xml:space="preserve">GOLD INTERNAL</w:t>
            </w:r>
            <w:r>
              <w:rPr>
                <w:rFonts w:ascii="Arial" w:cs="Arial" w:eastAsia="Arial" w:hAnsi="Arial"/>
                <w:color w:val="FFFFFF"/>
                <w:sz w:val="16"/>
                <w:szCs w:val="16"/>
              </w:rPr>
              <w:t xml:space="preserve">
jhbi_gold_internal</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GOLD EXTERNAL</w:t>
            </w:r>
            <w:r>
              <w:rPr>
                <w:rFonts w:ascii="Arial" w:cs="Arial" w:eastAsia="Arial" w:hAnsi="Arial"/>
                <w:color w:val="FFFFFF"/>
                <w:sz w:val="16"/>
                <w:szCs w:val="16"/>
              </w:rPr>
              <w:t xml:space="preserve">
Analytics Hub Linked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1A1A1A"/>
                <w:sz w:val="20"/>
                <w:szCs w:val="20"/>
              </w:rPr>
              <w:t xml:space="preserve">Table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cdc_events</w:t>
            </w:r>
          </w:p>
        </w:tc>
        <w:tc>
          <w:tcPr>
            <w:tcW w:type="dxa" w:w="1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upt_transaction</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fact_payment_transactions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fact_payment_transactions (linked)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1A1A1A"/>
                <w:sz w:val="20"/>
                <w:szCs w:val="20"/>
              </w:rPr>
              <w:t xml:space="preserve">fi_id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acme_bank_001</w:t>
            </w:r>
          </w:p>
        </w:tc>
        <w:tc>
          <w:tcPr>
            <w:tcW w:type="dxa" w:w="1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acme_bank_001</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acme_bank_001 (RLS applied)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acme_bank_001 (only rows visible)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1A1A1A"/>
                <w:sz w:val="20"/>
                <w:szCs w:val="20"/>
              </w:rPr>
              <w:t xml:space="preserve">Record / 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source_record_id: PC-2026-00123</w:t>
            </w:r>
          </w:p>
        </w:tc>
        <w:tc>
          <w:tcPr>
            <w:tcW w:type="dxa" w:w="1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source_record_id: PC-2026-00123 (retained for lineage)</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transaction_sk: GLD-SK-00456 (★ surrogate key)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transaction_sk: GLD-SK-00456 (same as internal)</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1A1A1A"/>
                <w:sz w:val="20"/>
                <w:szCs w:val="20"/>
              </w:rPr>
              <w:t xml:space="preserve">Customer Identity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 (not resolved at Bronze)</w:t>
            </w:r>
          </w:p>
        </w:tc>
        <w:tc>
          <w:tcPr>
            <w:tcW w:type="dxa" w:w="1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entity_customer_id: CUST-ENT-045678 (★ resolved via Spanner)</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entity_customer_id: CUST-ENT-045678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entity_customer_id: CUST-ENT-045678</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1A1A1A"/>
                <w:sz w:val="20"/>
                <w:szCs w:val="20"/>
              </w:rPr>
              <w:t xml:space="preserve">Account Identity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payload.orig_acct: TOK-8472-XXXX (● tokenized PAN/acct)</w:t>
            </w:r>
          </w:p>
        </w:tc>
        <w:tc>
          <w:tcPr>
            <w:tcW w:type="dxa" w:w="1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originator_acct_ref: TOK-8472-XXXX (● retained)
entity_account_id: ACCT-ENT-098765 (★)</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entity_account_id: ACCT-ENT-098765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entity_account_id: ACCT-ENT-098765</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1A1A1A"/>
                <w:sz w:val="20"/>
                <w:szCs w:val="20"/>
              </w:rPr>
              <w:t xml:space="preserve">Payment Rail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payload.payment_rail: "FedNow"</w:t>
            </w:r>
          </w:p>
        </w:tc>
        <w:tc>
          <w:tcPr>
            <w:tcW w:type="dxa" w:w="1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payment_rail: FedNow
payment_type: INSTANT_CREDIT_PUSH (★)</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payment_rail: FedNow
is_instant: TRUE (★)</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payment_rail: FedNow
is_instant: TRUE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1A1A1A"/>
                <w:sz w:val="20"/>
                <w:szCs w:val="20"/>
              </w:rPr>
              <w:t xml:space="preserve">Amount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payload.amount: 1500.00</w:t>
            </w:r>
          </w:p>
        </w:tc>
        <w:tc>
          <w:tcPr>
            <w:tcW w:type="dxa" w:w="1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amount: 1500.00
currency_code: USD (★ normalized)</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amount: 1500.00
currency_code: USD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amount: 1500.00
currency_code: USD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1A1A1A"/>
                <w:sz w:val="20"/>
                <w:szCs w:val="20"/>
              </w:rPr>
              <w:t xml:space="preserve">Settlement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payload.settled_at: 14:23:45Z
payload.status: SETTLED</w:t>
            </w:r>
          </w:p>
        </w:tc>
        <w:tc>
          <w:tcPr>
            <w:tcW w:type="dxa" w:w="1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settled_at: 14:23:45Z
status: SETTLED
settlement_latency_ms: 1000 (★)</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settled_at: 14:23:45Z
settlement_latency_ms: 1000
transaction_date: 2026-02-24 (★ dim key)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settled_at: 14:23:45Z
settlement_latency_ms: 1000</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1A1A1A"/>
                <w:sz w:val="20"/>
                <w:szCs w:val="20"/>
              </w:rPr>
              <w:t xml:space="preserve">Data Quality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 (no DQ at Bronze)</w:t>
            </w:r>
          </w:p>
        </w:tc>
        <w:tc>
          <w:tcPr>
            <w:tcW w:type="dxa" w:w="1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dq_score: 1.0 (★ Dataplex scan result)</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 (DQ enforced upstream)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 (inherits from Gold Internal)</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1A1A1A"/>
                <w:sz w:val="20"/>
                <w:szCs w:val="20"/>
              </w:rPr>
              <w:t xml:space="preserve">Who Can Access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Pipeline service accounts only. No user access.</w:t>
            </w:r>
          </w:p>
        </w:tc>
        <w:tc>
          <w:tcPr>
            <w:tcW w:type="dxa" w:w="1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JH data engineers, scientists (RLS-scoped). Internal cross-FI analytics.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JH data science, Looker, Vertex AI. Full cross-FI view with RLS for per-FI scope.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Acme Bank's own GCP project. Their BI tools, portal, APIs. Only their rows.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color w:val="1A1A1A"/>
                <w:sz w:val="20"/>
                <w:szCs w:val="20"/>
              </w:rPr>
              <w:t xml:space="preserve">Schema / Format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JSON payload column (schema-on-read). Append-only CDC events.</w:t>
            </w:r>
          </w:p>
        </w:tc>
        <w:tc>
          <w:tcPr>
            <w:tcW w:type="dxa" w:w="1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Typed columns, BIAN + ISO 20022 schema. Deduplicated, quarantine for DQ failures.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Star schema. Surrogate keys. Pre-aggregated dimensions. BI Engine cached.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Identical to Gold Internal schema. Backed by authorized view in Analytics Hub listing.</w:t>
            </w:r>
          </w:p>
        </w:tc>
      </w:tr>
    </w:tbl>
    <w:p>
      <w:pPr>
        <w:spacing w:before="60" w:after="60"/>
      </w:pPr>
      <w:r>
        <w:t xml:space="preserve"/>
      </w:r>
    </w:p>
    <w:p>
      <w:pPr>
        <w:spacing w:before="60" w:after="60"/>
        <w:ind w:left="720"/>
      </w:pPr>
      <w:r>
        <w:rPr>
          <w:rFonts w:ascii="Arial" w:cs="Arial" w:eastAsia="Arial" w:hAnsi="Arial"/>
          <w:b/>
          <w:bCs/>
          <w:i/>
          <w:iCs/>
          <w:color w:val="595959"/>
          <w:sz w:val="20"/>
          <w:szCs w:val="20"/>
        </w:rPr>
        <w:t xml:space="preserve">Note: </w:t>
      </w:r>
      <w:r>
        <w:rPr>
          <w:rFonts w:ascii="Arial" w:cs="Arial" w:eastAsia="Arial" w:hAnsi="Arial"/>
          <w:i/>
          <w:iCs/>
          <w:color w:val="595959"/>
          <w:sz w:val="20"/>
          <w:szCs w:val="20"/>
        </w:rPr>
        <w:t xml:space="preserve">★ = Field introduced or enriched at this layer. ● = Tokenized by Cloud DLP/KMS at Dataflow stage — value never stored in plaintext in BigQuery. 'Linked' dataset resides in FI's GCP project but reads from JHBI's authorized view — no data copy, no additional storage cost.</w:t>
      </w:r>
    </w:p>
    <w:p>
      <w:pPr>
        <w:spacing w:before="60" w:after="60"/>
      </w:pPr>
      <w:r>
        <w:t xml:space="preserve"/>
      </w:r>
    </w:p>
    <w:p>
      <w:pPr>
        <w:pStyle w:val="Heading2"/>
        <w:spacing w:before="200" w:after="120"/>
      </w:pPr>
      <w:r>
        <w:rPr>
          <w:rFonts w:ascii="Arial" w:cs="Arial" w:eastAsia="Arial" w:hAnsi="Arial"/>
          <w:b/>
          <w:bCs/>
          <w:color w:val="2E75B6"/>
          <w:sz w:val="26"/>
          <w:szCs w:val="26"/>
        </w:rPr>
        <w:t xml:space="preserve">4.7 BigQuery Configuration Best Practices</w:t>
      </w:r>
    </w:p>
    <w:p>
      <w:pPr>
        <w:pStyle w:val="ListParagraph"/>
        <w:numPr>
          <w:ilvl w:val="0"/>
          <w:numId w:val="2"/>
        </w:numPr>
        <w:spacing w:before="60" w:after="60"/>
      </w:pPr>
      <w:r>
        <w:rPr>
          <w:rFonts w:ascii="Arial" w:cs="Arial" w:eastAsia="Arial" w:hAnsi="Arial"/>
          <w:color w:val="1A1A1A"/>
          <w:sz w:val="22"/>
          <w:szCs w:val="22"/>
        </w:rPr>
        <w:t xml:space="preserve">Partitioning: All tables partitioned by DATE (ingestion_date or transaction_date). Partition expiration set per layer (Bronze: 7yr, Silver: 5yr, Gold: 3yr)</w:t>
      </w:r>
    </w:p>
    <w:p>
      <w:pPr>
        <w:pStyle w:val="ListParagraph"/>
        <w:numPr>
          <w:ilvl w:val="0"/>
          <w:numId w:val="2"/>
        </w:numPr>
        <w:spacing w:before="60" w:after="60"/>
      </w:pPr>
      <w:r>
        <w:rPr>
          <w:rFonts w:ascii="Arial" w:cs="Arial" w:eastAsia="Arial" w:hAnsi="Arial"/>
          <w:color w:val="1A1A1A"/>
          <w:sz w:val="22"/>
          <w:szCs w:val="22"/>
        </w:rPr>
        <w:t xml:space="preserve">Clustering: Primary cluster keys are fi_id + payment_rail + transaction_date for optimal query pruning</w:t>
      </w:r>
    </w:p>
    <w:p>
      <w:pPr>
        <w:pStyle w:val="ListParagraph"/>
        <w:numPr>
          <w:ilvl w:val="0"/>
          <w:numId w:val="2"/>
        </w:numPr>
        <w:spacing w:before="60" w:after="60"/>
      </w:pPr>
      <w:r>
        <w:rPr>
          <w:rFonts w:ascii="Arial" w:cs="Arial" w:eastAsia="Arial" w:hAnsi="Arial"/>
          <w:color w:val="1A1A1A"/>
          <w:sz w:val="22"/>
          <w:szCs w:val="22"/>
        </w:rPr>
        <w:t xml:space="preserve">CMEK: All BigQuery datasets use Customer-Managed Encryption Keys from jhbi-security-prod / Cloud KMS</w:t>
      </w:r>
    </w:p>
    <w:p>
      <w:pPr>
        <w:pStyle w:val="ListParagraph"/>
        <w:numPr>
          <w:ilvl w:val="0"/>
          <w:numId w:val="2"/>
        </w:numPr>
        <w:spacing w:before="60" w:after="60"/>
      </w:pPr>
      <w:r>
        <w:rPr>
          <w:rFonts w:ascii="Arial" w:cs="Arial" w:eastAsia="Arial" w:hAnsi="Arial"/>
          <w:color w:val="1A1A1A"/>
          <w:sz w:val="22"/>
          <w:szCs w:val="22"/>
        </w:rPr>
        <w:t xml:space="preserve">Column-Level Security: BigQuery Column-Level Access Policies mask tokenized PAN fields from non-privileged roles</w:t>
      </w:r>
    </w:p>
    <w:p>
      <w:pPr>
        <w:pStyle w:val="ListParagraph"/>
        <w:numPr>
          <w:ilvl w:val="0"/>
          <w:numId w:val="2"/>
        </w:numPr>
        <w:spacing w:before="60" w:after="60"/>
      </w:pPr>
      <w:r>
        <w:rPr>
          <w:rFonts w:ascii="Arial" w:cs="Arial" w:eastAsia="Arial" w:hAnsi="Arial"/>
          <w:color w:val="1A1A1A"/>
          <w:sz w:val="22"/>
          <w:szCs w:val="22"/>
        </w:rPr>
        <w:t xml:space="preserve">Authorized Views: Gold layer exposes cross-FI aggregate views only as BigQuery Authorized Views (no direct table access for external consumers)</w:t>
      </w:r>
    </w:p>
    <w:p>
      <w:pPr>
        <w:pStyle w:val="ListParagraph"/>
        <w:numPr>
          <w:ilvl w:val="0"/>
          <w:numId w:val="2"/>
        </w:numPr>
        <w:spacing w:before="60" w:after="60"/>
      </w:pPr>
      <w:r>
        <w:rPr>
          <w:rFonts w:ascii="Arial" w:cs="Arial" w:eastAsia="Arial" w:hAnsi="Arial"/>
          <w:color w:val="1A1A1A"/>
          <w:sz w:val="22"/>
          <w:szCs w:val="22"/>
        </w:rPr>
        <w:t xml:space="preserve">BI Engine Reservation: 100GB BI Engine reservation on Gold dataset for sub-second Power BI DirectQuery response</w:t>
      </w:r>
    </w:p>
    <w:p>
      <w:pPr>
        <w:spacing w:before="60" w:after="60"/>
      </w:pPr>
      <w:r>
        <w:t xml:space="preserve"/>
      </w:r>
    </w:p>
    <w:p>
      <w:pPr>
        <w:pStyle w:val="Heading1"/>
        <w:pageBreakBefore/>
        <w:spacing w:before="240" w:after="200"/>
      </w:pPr>
      <w:r>
        <w:rPr>
          <w:rFonts w:ascii="Arial" w:cs="Arial" w:eastAsia="Arial" w:hAnsi="Arial"/>
          <w:b/>
          <w:bCs/>
          <w:color w:val="1F4E79"/>
          <w:sz w:val="32"/>
          <w:szCs w:val="32"/>
        </w:rPr>
        <w:t xml:space="preserve">5. Data Processing &amp; Orchestration</w:t>
      </w:r>
    </w:p>
    <w:p>
      <w:pPr>
        <w:spacing w:before="80" w:after="80"/>
      </w:pPr>
      <w:r>
        <w:rPr>
          <w:rFonts w:ascii="Arial" w:cs="Arial" w:eastAsia="Arial" w:hAnsi="Arial"/>
          <w:color w:val="1A1A1A"/>
          <w:sz w:val="22"/>
          <w:szCs w:val="22"/>
        </w:rPr>
        <w:t xml:space="preserve">All ELT transformations from Bronze to Silver to Gold are managed through a combination of Dataform (SQL-based transformations) and Cloud Composer (Apache Airflow) for orchestration. This provides a fully auditable, version-controlled data pipeline.</w:t>
      </w:r>
    </w:p>
    <w:p>
      <w:pPr>
        <w:spacing w:before="60" w:after="60"/>
      </w:pPr>
      <w:r>
        <w:t xml:space="preserve"/>
      </w:r>
    </w:p>
    <w:p>
      <w:pPr>
        <w:pStyle w:val="Heading2"/>
        <w:spacing w:before="200" w:after="120"/>
      </w:pPr>
      <w:r>
        <w:rPr>
          <w:rFonts w:ascii="Arial" w:cs="Arial" w:eastAsia="Arial" w:hAnsi="Arial"/>
          <w:b/>
          <w:bCs/>
          <w:color w:val="2E75B6"/>
          <w:sz w:val="26"/>
          <w:szCs w:val="26"/>
        </w:rPr>
        <w:t xml:space="preserve">5.1 Dataform — Transformation Framework</w:t>
      </w:r>
    </w:p>
    <w:p>
      <w:pPr>
        <w:pStyle w:val="ListParagraph"/>
        <w:numPr>
          <w:ilvl w:val="0"/>
          <w:numId w:val="2"/>
        </w:numPr>
        <w:spacing w:before="60" w:after="60"/>
      </w:pPr>
      <w:r>
        <w:rPr>
          <w:rFonts w:ascii="Arial" w:cs="Arial" w:eastAsia="Arial" w:hAnsi="Arial"/>
          <w:color w:val="1A1A1A"/>
          <w:sz w:val="22"/>
          <w:szCs w:val="22"/>
        </w:rPr>
        <w:t xml:space="preserve">Dataform repository hosted in Cloud Source Repositories (or GitHub via mirror) with Git Flow branching (main / develop / feature/* / hotfix/*)</w:t>
      </w:r>
    </w:p>
    <w:p>
      <w:pPr>
        <w:pStyle w:val="ListParagraph"/>
        <w:numPr>
          <w:ilvl w:val="0"/>
          <w:numId w:val="2"/>
        </w:numPr>
        <w:spacing w:before="60" w:after="60"/>
      </w:pPr>
      <w:r>
        <w:rPr>
          <w:rFonts w:ascii="Arial" w:cs="Arial" w:eastAsia="Arial" w:hAnsi="Arial"/>
          <w:color w:val="1A1A1A"/>
          <w:sz w:val="22"/>
          <w:szCs w:val="22"/>
        </w:rPr>
        <w:t xml:space="preserve">SQLX files define Bronze-to-Silver normalization logic, data quality assertions, and Silver-to-Gold aggregation models</w:t>
      </w:r>
    </w:p>
    <w:p>
      <w:pPr>
        <w:pStyle w:val="ListParagraph"/>
        <w:numPr>
          <w:ilvl w:val="0"/>
          <w:numId w:val="2"/>
        </w:numPr>
        <w:spacing w:before="60" w:after="60"/>
      </w:pPr>
      <w:r>
        <w:rPr>
          <w:rFonts w:ascii="Arial" w:cs="Arial" w:eastAsia="Arial" w:hAnsi="Arial"/>
          <w:color w:val="1A1A1A"/>
          <w:sz w:val="22"/>
          <w:szCs w:val="22"/>
        </w:rPr>
        <w:t xml:space="preserve">Dataform Workflow Configurations trigger on a schedule or on-demand via Cloud Composer DAGs</w:t>
      </w:r>
    </w:p>
    <w:p>
      <w:pPr>
        <w:pStyle w:val="ListParagraph"/>
        <w:numPr>
          <w:ilvl w:val="0"/>
          <w:numId w:val="2"/>
        </w:numPr>
        <w:spacing w:before="60" w:after="60"/>
      </w:pPr>
      <w:r>
        <w:rPr>
          <w:rFonts w:ascii="Arial" w:cs="Arial" w:eastAsia="Arial" w:hAnsi="Arial"/>
          <w:color w:val="1A1A1A"/>
          <w:sz w:val="22"/>
          <w:szCs w:val="22"/>
        </w:rPr>
        <w:t xml:space="preserve">Source-to-Target Mappings (STTMs) generated automatically from Dataform lineage and published to Dataplex catalog</w:t>
      </w:r>
    </w:p>
    <w:p>
      <w:pPr>
        <w:pStyle w:val="ListParagraph"/>
        <w:numPr>
          <w:ilvl w:val="0"/>
          <w:numId w:val="2"/>
        </w:numPr>
        <w:spacing w:before="60" w:after="60"/>
      </w:pPr>
      <w:r>
        <w:rPr>
          <w:rFonts w:ascii="Arial" w:cs="Arial" w:eastAsia="Arial" w:hAnsi="Arial"/>
          <w:color w:val="1A1A1A"/>
          <w:sz w:val="22"/>
          <w:szCs w:val="22"/>
        </w:rPr>
        <w:t xml:space="preserve">Environments: dev / staging / prod Dataform environments mapped to corresponding BigQuery projects with separate service account credentials</w:t>
      </w:r>
    </w:p>
    <w:p>
      <w:pPr>
        <w:spacing w:before="60" w:after="60"/>
      </w:pPr>
      <w:r>
        <w:t xml:space="preserve"/>
      </w:r>
    </w:p>
    <w:p>
      <w:pPr>
        <w:pStyle w:val="Heading2"/>
        <w:spacing w:before="200" w:after="120"/>
      </w:pPr>
      <w:r>
        <w:rPr>
          <w:rFonts w:ascii="Arial" w:cs="Arial" w:eastAsia="Arial" w:hAnsi="Arial"/>
          <w:b/>
          <w:bCs/>
          <w:color w:val="2E75B6"/>
          <w:sz w:val="26"/>
          <w:szCs w:val="26"/>
        </w:rPr>
        <w:t xml:space="preserve">5.2 Cloud Composer (Apache Airflow) — Orchestration</w:t>
      </w:r>
    </w:p>
    <w:p>
      <w:pPr>
        <w:pStyle w:val="ListParagraph"/>
        <w:numPr>
          <w:ilvl w:val="0"/>
          <w:numId w:val="2"/>
        </w:numPr>
        <w:spacing w:before="60" w:after="60"/>
      </w:pPr>
      <w:r>
        <w:rPr>
          <w:rFonts w:ascii="Arial" w:cs="Arial" w:eastAsia="Arial" w:hAnsi="Arial"/>
          <w:color w:val="1A1A1A"/>
          <w:sz w:val="22"/>
          <w:szCs w:val="22"/>
        </w:rPr>
        <w:t xml:space="preserve">Cloud Composer 2 (Autopilot mode) deployed in jhbi-datalake-prod for minimal operational overhead</w:t>
      </w:r>
    </w:p>
    <w:p>
      <w:pPr>
        <w:pStyle w:val="ListParagraph"/>
        <w:numPr>
          <w:ilvl w:val="0"/>
          <w:numId w:val="2"/>
        </w:numPr>
        <w:spacing w:before="60" w:after="60"/>
      </w:pPr>
      <w:r>
        <w:rPr>
          <w:rFonts w:ascii="Arial" w:cs="Arial" w:eastAsia="Arial" w:hAnsi="Arial"/>
          <w:color w:val="1A1A1A"/>
          <w:sz w:val="22"/>
          <w:szCs w:val="22"/>
        </w:rPr>
        <w:t xml:space="preserve">Core DAGs: cdc_ingestion_monitor (monitors Datastream lag and Pub/Sub queue depth), bronze_to_silver_transform (triggers Dataform workflows per FI per source), silver_to_gold_curate (downstream Gold aggregation), entity_resolution_pipeline (Account/Customer/Household matching — see Section 6), dq_report_publish (publishes Dataplex DQ results to portal)</w:t>
      </w:r>
    </w:p>
    <w:p>
      <w:pPr>
        <w:pStyle w:val="ListParagraph"/>
        <w:numPr>
          <w:ilvl w:val="0"/>
          <w:numId w:val="2"/>
        </w:numPr>
        <w:spacing w:before="60" w:after="60"/>
      </w:pPr>
      <w:r>
        <w:rPr>
          <w:rFonts w:ascii="Arial" w:cs="Arial" w:eastAsia="Arial" w:hAnsi="Arial"/>
          <w:color w:val="1A1A1A"/>
          <w:sz w:val="22"/>
          <w:szCs w:val="22"/>
        </w:rPr>
        <w:t xml:space="preserve">SLA Monitoring: Airflow SLA miss callbacks alert via Cloud Monitoring; pipeline lag dashboard in Cloud Operations</w:t>
      </w:r>
    </w:p>
    <w:p>
      <w:pPr>
        <w:pStyle w:val="ListParagraph"/>
        <w:numPr>
          <w:ilvl w:val="0"/>
          <w:numId w:val="2"/>
        </w:numPr>
        <w:spacing w:before="60" w:after="60"/>
      </w:pPr>
      <w:r>
        <w:rPr>
          <w:rFonts w:ascii="Arial" w:cs="Arial" w:eastAsia="Arial" w:hAnsi="Arial"/>
          <w:color w:val="1A1A1A"/>
          <w:sz w:val="22"/>
          <w:szCs w:val="22"/>
        </w:rPr>
        <w:t xml:space="preserve">Retry Policy: Exponential backoff with max 3 retries; failed DAG runs trigger PagerDuty alerts for data SLA breaches</w:t>
      </w:r>
    </w:p>
    <w:p>
      <w:pPr>
        <w:spacing w:before="60" w:after="60"/>
      </w:pPr>
      <w:r>
        <w:t xml:space="preserve"/>
      </w:r>
    </w:p>
    <w:p>
      <w:pPr>
        <w:pStyle w:val="Heading2"/>
        <w:spacing w:before="200" w:after="120"/>
      </w:pPr>
      <w:r>
        <w:rPr>
          <w:rFonts w:ascii="Arial" w:cs="Arial" w:eastAsia="Arial" w:hAnsi="Arial"/>
          <w:b/>
          <w:bCs/>
          <w:color w:val="2E75B6"/>
          <w:sz w:val="26"/>
          <w:szCs w:val="26"/>
        </w:rPr>
        <w:t xml:space="preserve">5.3 Data Quality Framework</w:t>
      </w:r>
    </w:p>
    <w:p>
      <w:pPr>
        <w:pStyle w:val="ListParagraph"/>
        <w:numPr>
          <w:ilvl w:val="0"/>
          <w:numId w:val="2"/>
        </w:numPr>
        <w:spacing w:before="60" w:after="60"/>
      </w:pPr>
      <w:r>
        <w:rPr>
          <w:rFonts w:ascii="Arial" w:cs="Arial" w:eastAsia="Arial" w:hAnsi="Arial"/>
          <w:color w:val="1A1A1A"/>
          <w:sz w:val="22"/>
          <w:szCs w:val="22"/>
        </w:rPr>
        <w:t xml:space="preserve">Dataplex Data Quality: Declarative quality rules (NOT NULL, value range, referential integrity, regex format, uniqueness) defined in YAML and applied as Dataplex Data Quality scans on Silver tables after each pipeline run</w:t>
      </w:r>
    </w:p>
    <w:p>
      <w:pPr>
        <w:pStyle w:val="ListParagraph"/>
        <w:numPr>
          <w:ilvl w:val="0"/>
          <w:numId w:val="2"/>
        </w:numPr>
        <w:spacing w:before="60" w:after="60"/>
      </w:pPr>
      <w:r>
        <w:rPr>
          <w:rFonts w:ascii="Arial" w:cs="Arial" w:eastAsia="Arial" w:hAnsi="Arial"/>
          <w:color w:val="1A1A1A"/>
          <w:sz w:val="22"/>
          <w:szCs w:val="22"/>
        </w:rPr>
        <w:t xml:space="preserve">Quality Score Surfacing: DQ scores written back to a jhbi_gold_dq_scores table and exposed in the User Portal as Green/Yellow/Red indicators</w:t>
      </w:r>
    </w:p>
    <w:p>
      <w:pPr>
        <w:pStyle w:val="ListParagraph"/>
        <w:numPr>
          <w:ilvl w:val="0"/>
          <w:numId w:val="2"/>
        </w:numPr>
        <w:spacing w:before="60" w:after="60"/>
      </w:pPr>
      <w:r>
        <w:rPr>
          <w:rFonts w:ascii="Arial" w:cs="Arial" w:eastAsia="Arial" w:hAnsi="Arial"/>
          <w:color w:val="1A1A1A"/>
          <w:sz w:val="22"/>
          <w:szCs w:val="22"/>
        </w:rPr>
        <w:t xml:space="preserve">Quarantine Pattern: Records failing Bronze-to-Silver quality checks are routed to a jhbi_bronze_quarantine_{fi_id} dataset for investigation rather than silently dropped</w:t>
      </w:r>
    </w:p>
    <w:p>
      <w:pPr>
        <w:pStyle w:val="ListParagraph"/>
        <w:numPr>
          <w:ilvl w:val="0"/>
          <w:numId w:val="2"/>
        </w:numPr>
        <w:spacing w:before="60" w:after="60"/>
      </w:pPr>
      <w:r>
        <w:rPr>
          <w:rFonts w:ascii="Arial" w:cs="Arial" w:eastAsia="Arial" w:hAnsi="Arial"/>
          <w:color w:val="1A1A1A"/>
          <w:sz w:val="22"/>
          <w:szCs w:val="22"/>
        </w:rPr>
        <w:t xml:space="preserve">Data Lineage: Dataplex automatically captures lineage from Dataform SQL, Dataflow jobs, and BigQuery DML — viewable in Dataplex Data Lineage graph and surfaced in the User Portal</w:t>
      </w:r>
    </w:p>
    <w:p>
      <w:pPr>
        <w:spacing w:before="60" w:after="60"/>
      </w:pPr>
      <w:r>
        <w:t xml:space="preserve"/>
      </w:r>
    </w:p>
    <w:p>
      <w:pPr>
        <w:pStyle w:val="Heading1"/>
        <w:pageBreakBefore/>
        <w:spacing w:before="240" w:after="200"/>
      </w:pPr>
      <w:r>
        <w:rPr>
          <w:rFonts w:ascii="Arial" w:cs="Arial" w:eastAsia="Arial" w:hAnsi="Arial"/>
          <w:b/>
          <w:bCs/>
          <w:color w:val="1F4E79"/>
          <w:sz w:val="32"/>
          <w:szCs w:val="32"/>
        </w:rPr>
        <w:t xml:space="preserve">6. Entity Resolution</w:t>
      </w:r>
    </w:p>
    <w:p>
      <w:pPr>
        <w:spacing w:before="80" w:after="80"/>
      </w:pPr>
      <w:r>
        <w:rPr>
          <w:rFonts w:ascii="Arial" w:cs="Arial" w:eastAsia="Arial" w:hAnsi="Arial"/>
          <w:color w:val="1A1A1A"/>
          <w:sz w:val="22"/>
          <w:szCs w:val="22"/>
        </w:rPr>
        <w:t xml:space="preserve">Entity Resolution de-duplicates and unifies Account, Customer, and Household entities across all source payment systems. This produces a Single Source of Truth entity model and enables 360-degree customer views for FI analytics.</w:t>
      </w:r>
    </w:p>
    <w:p>
      <w:pPr>
        <w:spacing w:before="60" w:after="60"/>
      </w:pPr>
      <w:r>
        <w:t xml:space="preserve"/>
      </w:r>
    </w:p>
    <w:p>
      <w:pPr>
        <w:pStyle w:val="Heading2"/>
        <w:spacing w:before="200" w:after="120"/>
      </w:pPr>
      <w:r>
        <w:rPr>
          <w:rFonts w:ascii="Arial" w:cs="Arial" w:eastAsia="Arial" w:hAnsi="Arial"/>
          <w:b/>
          <w:bCs/>
          <w:color w:val="2E75B6"/>
          <w:sz w:val="26"/>
          <w:szCs w:val="26"/>
        </w:rPr>
        <w:t xml:space="preserve">6.1 Entity Resolution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280"/>
        <w:gridCol w:w="348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Technique</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GCP Implementation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Blocking / Bucketing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Partition candidate pairs by blocking keys (last 4 of account, FI routing number, name soundex) to avoid O(n^2) comparison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BigQuery SQL in Dataform SQLX; blocking key columns pre-computed at Silver ingest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Candidate Scoring</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Deterministic matching rules (exact name+DOB+SSN-last4) with Jaro-Winkler similarity for fuzzy name matching</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BigQuery ML (BQML) or pure SQL UDFs for similarity scoring; thresholds tunable per entity type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Entity Assignment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Connected-components clustering: records scoring above threshold receive same entity_id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 Spanner stores canonical entity records (AccountMDM, CustomerMDM, HouseholdMDM) with consistent cross-region reads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Bridge Tables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M:M resolution: customer-to-account, customer-to-household bridge tables resolve many-to-many relationships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BigQuery bridge tables in jhbi_silver_{fi_id} schema; refreshed on each entity resolution run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ID Propagation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Resolved entity IDs back-propagated to Silver and Gold tables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Dataform incremental model applies Spanner-sourced entity IDs to Silver/Gold via BigQuery joins</w:t>
            </w:r>
          </w:p>
        </w:tc>
      </w:tr>
    </w:tbl>
    <w:p>
      <w:pPr>
        <w:spacing w:before="60" w:after="60"/>
      </w:pPr>
      <w:r>
        <w:t xml:space="preserve"/>
      </w:r>
    </w:p>
    <w:p>
      <w:pPr>
        <w:pStyle w:val="Heading2"/>
        <w:spacing w:before="200" w:after="120"/>
      </w:pPr>
      <w:r>
        <w:rPr>
          <w:rFonts w:ascii="Arial" w:cs="Arial" w:eastAsia="Arial" w:hAnsi="Arial"/>
          <w:b/>
          <w:bCs/>
          <w:color w:val="2E75B6"/>
          <w:sz w:val="26"/>
          <w:szCs w:val="26"/>
        </w:rPr>
        <w:t xml:space="preserve">6.2 Entity Master Data in Cloud Spanner</w:t>
      </w:r>
    </w:p>
    <w:p>
      <w:pPr>
        <w:spacing w:before="80" w:after="80"/>
      </w:pPr>
      <w:r>
        <w:rPr>
          <w:rFonts w:ascii="Arial" w:cs="Arial" w:eastAsia="Arial" w:hAnsi="Arial"/>
          <w:color w:val="1A1A1A"/>
          <w:sz w:val="22"/>
          <w:szCs w:val="22"/>
        </w:rPr>
        <w:t xml:space="preserve">Cloud Spanner is selected for the entity master tables because it provides globally consistent reads, strongly typed schema, and handles the high-throughput lookup patterns required by the Data Services APIs (Section 8). The entity master schema uses interleaved tables for hierarchical relationships:</w:t>
      </w:r>
    </w:p>
    <w:p>
      <w:pPr>
        <w:spacing w:before="60" w:after="60"/>
      </w:pPr>
      <w:r>
        <w:t xml:space="preserve"/>
      </w:r>
    </w:p>
    <w:p>
      <w:pPr>
        <w:pStyle w:val="ListParagraph"/>
        <w:numPr>
          <w:ilvl w:val="0"/>
          <w:numId w:val="2"/>
        </w:numPr>
        <w:spacing w:before="60" w:after="60"/>
      </w:pPr>
      <w:r>
        <w:rPr>
          <w:rFonts w:ascii="Arial" w:cs="Arial" w:eastAsia="Arial" w:hAnsi="Arial"/>
          <w:color w:val="1A1A1A"/>
          <w:sz w:val="22"/>
          <w:szCs w:val="22"/>
        </w:rPr>
        <w:t xml:space="preserve">HouseholdMDM (fi_id, entity_household_id, canonical_address, household_name, created_at, updated_at, source_systems[])</w:t>
      </w:r>
    </w:p>
    <w:p>
      <w:pPr>
        <w:pStyle w:val="ListParagraph"/>
        <w:numPr>
          <w:ilvl w:val="0"/>
          <w:numId w:val="2"/>
        </w:numPr>
        <w:spacing w:before="60" w:after="60"/>
      </w:pPr>
      <w:r>
        <w:rPr>
          <w:rFonts w:ascii="Arial" w:cs="Arial" w:eastAsia="Arial" w:hAnsi="Arial"/>
          <w:color w:val="1A1A1A"/>
          <w:sz w:val="22"/>
          <w:szCs w:val="22"/>
        </w:rPr>
        <w:t xml:space="preserve">CustomerMDM (fi_id, entity_customer_id, entity_household_id [FK], canonical_name, dob_year, source_systems[], match_confidence_score)</w:t>
      </w:r>
    </w:p>
    <w:p>
      <w:pPr>
        <w:pStyle w:val="ListParagraph"/>
        <w:numPr>
          <w:ilvl w:val="0"/>
          <w:numId w:val="2"/>
        </w:numPr>
        <w:spacing w:before="60" w:after="60"/>
      </w:pPr>
      <w:r>
        <w:rPr>
          <w:rFonts w:ascii="Arial" w:cs="Arial" w:eastAsia="Arial" w:hAnsi="Arial"/>
          <w:color w:val="1A1A1A"/>
          <w:sz w:val="22"/>
          <w:szCs w:val="22"/>
        </w:rPr>
        <w:t xml:space="preserve">AccountMDM (fi_id, entity_account_id, entity_customer_id [FK], tokenized_account_ref, account_type, payment_rails[], status)</w:t>
      </w:r>
    </w:p>
    <w:p>
      <w:pPr>
        <w:pStyle w:val="ListParagraph"/>
        <w:numPr>
          <w:ilvl w:val="0"/>
          <w:numId w:val="2"/>
        </w:numPr>
        <w:spacing w:before="60" w:after="60"/>
      </w:pPr>
      <w:r>
        <w:rPr>
          <w:rFonts w:ascii="Arial" w:cs="Arial" w:eastAsia="Arial" w:hAnsi="Arial"/>
          <w:color w:val="1A1A1A"/>
          <w:sz w:val="22"/>
          <w:szCs w:val="22"/>
        </w:rPr>
        <w:t xml:space="preserve">MergeAudit (fi_id, entity_id, merge_action, merged_source_ids[], merged_at, triggered_by_pipeline_run_id) — full audit trail of all merge/split decisions</w:t>
      </w:r>
    </w:p>
    <w:p>
      <w:pPr>
        <w:spacing w:before="60" w:after="60"/>
      </w:pPr>
      <w:r>
        <w:t xml:space="preserve"/>
      </w:r>
    </w:p>
    <w:p>
      <w:pPr>
        <w:spacing w:before="60" w:after="60"/>
        <w:ind w:left="720"/>
      </w:pPr>
      <w:r>
        <w:rPr>
          <w:rFonts w:ascii="Arial" w:cs="Arial" w:eastAsia="Arial" w:hAnsi="Arial"/>
          <w:b/>
          <w:bCs/>
          <w:i/>
          <w:iCs/>
          <w:color w:val="595959"/>
          <w:sz w:val="20"/>
          <w:szCs w:val="20"/>
        </w:rPr>
        <w:t xml:space="preserve">Note: </w:t>
      </w:r>
      <w:r>
        <w:rPr>
          <w:rFonts w:ascii="Arial" w:cs="Arial" w:eastAsia="Arial" w:hAnsi="Arial"/>
          <w:i/>
          <w:iCs/>
          <w:color w:val="595959"/>
          <w:sz w:val="20"/>
          <w:szCs w:val="20"/>
        </w:rPr>
        <w:t xml:space="preserve">Cloud Spanner is accessed by the entity resolution pipeline (write path) and the Data Services APIs (read path). BigQuery connects to Spanner via the BigQuery Spanner Federation connector for cross-system joins during Gold layer construction.</w:t>
      </w:r>
    </w:p>
    <w:p>
      <w:pPr>
        <w:spacing w:before="60" w:after="60"/>
      </w:pPr>
      <w:r>
        <w:t xml:space="preserve"/>
      </w:r>
    </w:p>
    <w:p>
      <w:pPr>
        <w:pStyle w:val="Heading2"/>
        <w:spacing w:before="200" w:after="120"/>
      </w:pPr>
      <w:r>
        <w:rPr>
          <w:rFonts w:ascii="Arial" w:cs="Arial" w:eastAsia="Arial" w:hAnsi="Arial"/>
          <w:b/>
          <w:bCs/>
          <w:color w:val="2E75B6"/>
          <w:sz w:val="26"/>
          <w:szCs w:val="26"/>
        </w:rPr>
        <w:t xml:space="preserve">6.3 MVP Success Metrics</w:t>
      </w:r>
    </w:p>
    <w:p>
      <w:pPr>
        <w:pStyle w:val="ListParagraph"/>
        <w:numPr>
          <w:ilvl w:val="0"/>
          <w:numId w:val="2"/>
        </w:numPr>
        <w:spacing w:before="60" w:after="60"/>
      </w:pPr>
      <w:r>
        <w:rPr>
          <w:rFonts w:ascii="Arial" w:cs="Arial" w:eastAsia="Arial" w:hAnsi="Arial"/>
          <w:color w:val="1A1A1A"/>
          <w:sz w:val="22"/>
          <w:szCs w:val="22"/>
        </w:rPr>
        <w:t xml:space="preserve">Purity Score (Precision): &gt; 97% — fewer than 3% of merged Customer entities contain records from different real-world individuals</w:t>
      </w:r>
    </w:p>
    <w:p>
      <w:pPr>
        <w:pStyle w:val="ListParagraph"/>
        <w:numPr>
          <w:ilvl w:val="0"/>
          <w:numId w:val="2"/>
        </w:numPr>
        <w:spacing w:before="60" w:after="60"/>
      </w:pPr>
      <w:r>
        <w:rPr>
          <w:rFonts w:ascii="Arial" w:cs="Arial" w:eastAsia="Arial" w:hAnsi="Arial"/>
          <w:color w:val="1A1A1A"/>
          <w:sz w:val="22"/>
          <w:szCs w:val="22"/>
        </w:rPr>
        <w:t xml:space="preserve">Completeness Score (Recall): &gt; 90% — at least 90% of true duplicates are identified and merged</w:t>
      </w:r>
    </w:p>
    <w:p>
      <w:pPr>
        <w:pStyle w:val="ListParagraph"/>
        <w:numPr>
          <w:ilvl w:val="0"/>
          <w:numId w:val="2"/>
        </w:numPr>
        <w:spacing w:before="60" w:after="60"/>
      </w:pPr>
      <w:r>
        <w:rPr>
          <w:rFonts w:ascii="Arial" w:cs="Arial" w:eastAsia="Arial" w:hAnsi="Arial"/>
          <w:color w:val="1A1A1A"/>
          <w:sz w:val="22"/>
          <w:szCs w:val="22"/>
        </w:rPr>
        <w:t xml:space="preserve">Resolution Rate: &gt; 99% — all ingested records assigned a final entity ID</w:t>
      </w:r>
    </w:p>
    <w:p>
      <w:pPr>
        <w:pStyle w:val="ListParagraph"/>
        <w:numPr>
          <w:ilvl w:val="0"/>
          <w:numId w:val="2"/>
        </w:numPr>
        <w:spacing w:before="60" w:after="60"/>
      </w:pPr>
      <w:r>
        <w:rPr>
          <w:rFonts w:ascii="Arial" w:cs="Arial" w:eastAsia="Arial" w:hAnsi="Arial"/>
          <w:color w:val="1A1A1A"/>
          <w:sz w:val="22"/>
          <w:szCs w:val="22"/>
        </w:rPr>
        <w:t xml:space="preserve">Deduplication Ratio: 5-10% of Customer/Account records identified as duplicates</w:t>
      </w:r>
    </w:p>
    <w:p>
      <w:pPr>
        <w:spacing w:before="60" w:after="60"/>
      </w:pPr>
      <w:r>
        <w:t xml:space="preserve"/>
      </w:r>
    </w:p>
    <w:p>
      <w:pPr>
        <w:pStyle w:val="Heading1"/>
        <w:pageBreakBefore/>
        <w:spacing w:before="240" w:after="200"/>
      </w:pPr>
      <w:r>
        <w:rPr>
          <w:rFonts w:ascii="Arial" w:cs="Arial" w:eastAsia="Arial" w:hAnsi="Arial"/>
          <w:b/>
          <w:bCs/>
          <w:color w:val="1F4E79"/>
          <w:sz w:val="32"/>
          <w:szCs w:val="32"/>
        </w:rPr>
        <w:t xml:space="preserve">7. Data Governance — Dataplex</w:t>
      </w:r>
    </w:p>
    <w:p>
      <w:pPr>
        <w:spacing w:before="80" w:after="80"/>
      </w:pPr>
      <w:r>
        <w:rPr>
          <w:rFonts w:ascii="Arial" w:cs="Arial" w:eastAsia="Arial" w:hAnsi="Arial"/>
          <w:color w:val="1A1A1A"/>
          <w:sz w:val="22"/>
          <w:szCs w:val="22"/>
        </w:rPr>
        <w:t xml:space="preserve">Dataplex serves as the unified governance layer across all BigQuery datasets, providing metadata management, data discovery, quality monitoring, and lineage tracking. All governance metadata is exposed through the JHBI User Portal.</w:t>
      </w:r>
    </w:p>
    <w:p>
      <w:pPr>
        <w:spacing w:before="60" w:after="60"/>
      </w:pPr>
      <w:r>
        <w:t xml:space="preserve"/>
      </w:r>
    </w:p>
    <w:p>
      <w:pPr>
        <w:pStyle w:val="Heading2"/>
        <w:spacing w:before="200" w:after="120"/>
      </w:pPr>
      <w:r>
        <w:rPr>
          <w:rFonts w:ascii="Arial" w:cs="Arial" w:eastAsia="Arial" w:hAnsi="Arial"/>
          <w:b/>
          <w:bCs/>
          <w:color w:val="2E75B6"/>
          <w:sz w:val="26"/>
          <w:szCs w:val="26"/>
        </w:rPr>
        <w:t xml:space="preserve">7.1 Dataplex Organization</w:t>
      </w:r>
    </w:p>
    <w:p>
      <w:pPr>
        <w:pStyle w:val="ListParagraph"/>
        <w:numPr>
          <w:ilvl w:val="0"/>
          <w:numId w:val="2"/>
        </w:numPr>
        <w:spacing w:before="60" w:after="60"/>
      </w:pPr>
      <w:r>
        <w:rPr>
          <w:rFonts w:ascii="Arial" w:cs="Arial" w:eastAsia="Arial" w:hAnsi="Arial"/>
          <w:color w:val="1A1A1A"/>
          <w:sz w:val="22"/>
          <w:szCs w:val="22"/>
        </w:rPr>
        <w:t xml:space="preserve">Lake: jhbi-payments-lake (in jhbi-datalake-prod) — top-level governance boundary</w:t>
      </w:r>
    </w:p>
    <w:p>
      <w:pPr>
        <w:pStyle w:val="ListParagraph"/>
        <w:numPr>
          <w:ilvl w:val="0"/>
          <w:numId w:val="2"/>
        </w:numPr>
        <w:spacing w:before="60" w:after="60"/>
      </w:pPr>
      <w:r>
        <w:rPr>
          <w:rFonts w:ascii="Arial" w:cs="Arial" w:eastAsia="Arial" w:hAnsi="Arial"/>
          <w:color w:val="1A1A1A"/>
          <w:sz w:val="22"/>
          <w:szCs w:val="22"/>
        </w:rPr>
        <w:t xml:space="preserve">Zones: bronze-zone (raw assets), silver-zone (curated), gold-zone (business-ready) — maps directly to BigQuery dataset tiers</w:t>
      </w:r>
    </w:p>
    <w:p>
      <w:pPr>
        <w:pStyle w:val="ListParagraph"/>
        <w:numPr>
          <w:ilvl w:val="0"/>
          <w:numId w:val="2"/>
        </w:numPr>
        <w:spacing w:before="60" w:after="60"/>
      </w:pPr>
      <w:r>
        <w:rPr>
          <w:rFonts w:ascii="Arial" w:cs="Arial" w:eastAsia="Arial" w:hAnsi="Arial"/>
          <w:color w:val="1A1A1A"/>
          <w:sz w:val="22"/>
          <w:szCs w:val="22"/>
        </w:rPr>
        <w:t xml:space="preserve">Assets: Each BigQuery dataset registered as a Dataplex asset with automatic schema discovery and metadata harvesting</w:t>
      </w:r>
    </w:p>
    <w:p>
      <w:pPr>
        <w:spacing w:before="60" w:after="60"/>
      </w:pPr>
      <w:r>
        <w:t xml:space="preserve"/>
      </w:r>
    </w:p>
    <w:p>
      <w:pPr>
        <w:pStyle w:val="Heading2"/>
        <w:spacing w:before="200" w:after="120"/>
      </w:pPr>
      <w:r>
        <w:rPr>
          <w:rFonts w:ascii="Arial" w:cs="Arial" w:eastAsia="Arial" w:hAnsi="Arial"/>
          <w:b/>
          <w:bCs/>
          <w:color w:val="2E75B6"/>
          <w:sz w:val="26"/>
          <w:szCs w:val="26"/>
        </w:rPr>
        <w:t xml:space="preserve">7.2 Catalog &amp; Tagging</w:t>
      </w:r>
    </w:p>
    <w:p>
      <w:pPr>
        <w:pStyle w:val="ListParagraph"/>
        <w:numPr>
          <w:ilvl w:val="0"/>
          <w:numId w:val="2"/>
        </w:numPr>
        <w:spacing w:before="60" w:after="60"/>
      </w:pPr>
      <w:r>
        <w:rPr>
          <w:rFonts w:ascii="Arial" w:cs="Arial" w:eastAsia="Arial" w:hAnsi="Arial"/>
          <w:color w:val="1A1A1A"/>
          <w:sz w:val="22"/>
          <w:szCs w:val="22"/>
        </w:rPr>
        <w:t xml:space="preserve">Tag Templates: payment_data_classification (PCI / PII / General), data_owner, business_glossary_term, refresh_schedule, sla_target</w:t>
      </w:r>
    </w:p>
    <w:p>
      <w:pPr>
        <w:pStyle w:val="ListParagraph"/>
        <w:numPr>
          <w:ilvl w:val="0"/>
          <w:numId w:val="2"/>
        </w:numPr>
        <w:spacing w:before="60" w:after="60"/>
      </w:pPr>
      <w:r>
        <w:rPr>
          <w:rFonts w:ascii="Arial" w:cs="Arial" w:eastAsia="Arial" w:hAnsi="Arial"/>
          <w:color w:val="1A1A1A"/>
          <w:sz w:val="22"/>
          <w:szCs w:val="22"/>
        </w:rPr>
        <w:t xml:space="preserve">Business Glossary: BIAN-aligned glossary terms linked to BigQuery columns (e.g., 'Payment Rail', 'Settlement Amount', 'Counterparty')</w:t>
      </w:r>
    </w:p>
    <w:p>
      <w:pPr>
        <w:pStyle w:val="ListParagraph"/>
        <w:numPr>
          <w:ilvl w:val="0"/>
          <w:numId w:val="2"/>
        </w:numPr>
        <w:spacing w:before="60" w:after="60"/>
      </w:pPr>
      <w:r>
        <w:rPr>
          <w:rFonts w:ascii="Arial" w:cs="Arial" w:eastAsia="Arial" w:hAnsi="Arial"/>
          <w:color w:val="1A1A1A"/>
          <w:sz w:val="22"/>
          <w:szCs w:val="22"/>
        </w:rPr>
        <w:t xml:space="preserve">Auto-tagging: Dataform publishes column descriptions into Dataplex on each deployment; DLP scan results auto-apply PCI/PII tags</w:t>
      </w:r>
    </w:p>
    <w:p>
      <w:pPr>
        <w:pStyle w:val="ListParagraph"/>
        <w:numPr>
          <w:ilvl w:val="0"/>
          <w:numId w:val="2"/>
        </w:numPr>
        <w:spacing w:before="60" w:after="60"/>
      </w:pPr>
      <w:r>
        <w:rPr>
          <w:rFonts w:ascii="Arial" w:cs="Arial" w:eastAsia="Arial" w:hAnsi="Arial"/>
          <w:color w:val="1A1A1A"/>
          <w:sz w:val="22"/>
          <w:szCs w:val="22"/>
        </w:rPr>
        <w:t xml:space="preserve">Search: Dataplex Data Catalog search API powers the Portal's intelligent search experience</w:t>
      </w:r>
    </w:p>
    <w:p>
      <w:pPr>
        <w:spacing w:before="60" w:after="60"/>
      </w:pPr>
      <w:r>
        <w:t xml:space="preserve"/>
      </w:r>
    </w:p>
    <w:p>
      <w:pPr>
        <w:pStyle w:val="Heading2"/>
        <w:spacing w:before="200" w:after="120"/>
      </w:pPr>
      <w:r>
        <w:rPr>
          <w:rFonts w:ascii="Arial" w:cs="Arial" w:eastAsia="Arial" w:hAnsi="Arial"/>
          <w:b/>
          <w:bCs/>
          <w:color w:val="2E75B6"/>
          <w:sz w:val="26"/>
          <w:szCs w:val="26"/>
        </w:rPr>
        <w:t xml:space="preserve">7.3 Data Lineage</w:t>
      </w:r>
    </w:p>
    <w:p>
      <w:pPr>
        <w:pStyle w:val="ListParagraph"/>
        <w:numPr>
          <w:ilvl w:val="0"/>
          <w:numId w:val="2"/>
        </w:numPr>
        <w:spacing w:before="60" w:after="60"/>
      </w:pPr>
      <w:r>
        <w:rPr>
          <w:rFonts w:ascii="Arial" w:cs="Arial" w:eastAsia="Arial" w:hAnsi="Arial"/>
          <w:color w:val="1A1A1A"/>
          <w:sz w:val="22"/>
          <w:szCs w:val="22"/>
        </w:rPr>
        <w:t xml:space="preserve">Automatic lineage captured for: Dataflow ingestion (source DB → Bronze), Dataform transforms (Bronze → Silver → Gold), BigQuery jobs (Silver entity resolution → Spanner)</w:t>
      </w:r>
    </w:p>
    <w:p>
      <w:pPr>
        <w:pStyle w:val="ListParagraph"/>
        <w:numPr>
          <w:ilvl w:val="0"/>
          <w:numId w:val="2"/>
        </w:numPr>
        <w:spacing w:before="60" w:after="60"/>
      </w:pPr>
      <w:r>
        <w:rPr>
          <w:rFonts w:ascii="Arial" w:cs="Arial" w:eastAsia="Arial" w:hAnsi="Arial"/>
          <w:color w:val="1A1A1A"/>
          <w:sz w:val="22"/>
          <w:szCs w:val="22"/>
        </w:rPr>
        <w:t xml:space="preserve">Lineage API surfaced in Portal as visual flow diagram: Source System → Bronze → Silver → Gold → Report/API</w:t>
      </w:r>
    </w:p>
    <w:p>
      <w:pPr>
        <w:pStyle w:val="ListParagraph"/>
        <w:numPr>
          <w:ilvl w:val="0"/>
          <w:numId w:val="2"/>
        </w:numPr>
        <w:spacing w:before="60" w:after="60"/>
      </w:pPr>
      <w:r>
        <w:rPr>
          <w:rFonts w:ascii="Arial" w:cs="Arial" w:eastAsia="Arial" w:hAnsi="Arial"/>
          <w:color w:val="1A1A1A"/>
          <w:sz w:val="22"/>
          <w:szCs w:val="22"/>
        </w:rPr>
        <w:t xml:space="preserve">Column-level lineage tracked for critical financial fields (payment_amount, settlement_date, fi_id)</w:t>
      </w:r>
    </w:p>
    <w:p>
      <w:pPr>
        <w:spacing w:before="60" w:after="60"/>
      </w:pPr>
      <w:r>
        <w:t xml:space="preserve"/>
      </w:r>
    </w:p>
    <w:p>
      <w:pPr>
        <w:pStyle w:val="Heading1"/>
        <w:pageBreakBefore/>
        <w:spacing w:before="240" w:after="200"/>
      </w:pPr>
      <w:r>
        <w:rPr>
          <w:rFonts w:ascii="Arial" w:cs="Arial" w:eastAsia="Arial" w:hAnsi="Arial"/>
          <w:b/>
          <w:bCs/>
          <w:color w:val="1F4E79"/>
          <w:sz w:val="32"/>
          <w:szCs w:val="32"/>
        </w:rPr>
        <w:t xml:space="preserve">8. Internal Use Architecture — Cross-FI Analytics</w:t>
      </w:r>
    </w:p>
    <w:p>
      <w:pPr>
        <w:spacing w:before="80" w:after="80"/>
      </w:pPr>
      <w:r>
        <w:rPr>
          <w:rFonts w:ascii="Arial" w:cs="Arial" w:eastAsia="Arial" w:hAnsi="Arial"/>
          <w:color w:val="1A1A1A"/>
          <w:sz w:val="22"/>
          <w:szCs w:val="22"/>
        </w:rPr>
        <w:t xml:space="preserve">The internal use case enables Jack Henry data scientists, product analysts, compliance teams, and operations staff to query and analyze data across all Financial Institution tenants. This is strictly an internal GCP capability — never exposed to FI clients.</w:t>
      </w:r>
    </w:p>
    <w:p>
      <w:pPr>
        <w:spacing w:before="60" w:after="60"/>
      </w:pPr>
      <w:r>
        <w:t xml:space="preserve"/>
      </w:r>
    </w:p>
    <w:p>
      <w:pPr>
        <w:pStyle w:val="Heading2"/>
        <w:spacing w:before="200" w:after="120"/>
      </w:pPr>
      <w:r>
        <w:rPr>
          <w:rFonts w:ascii="Arial" w:cs="Arial" w:eastAsia="Arial" w:hAnsi="Arial"/>
          <w:b/>
          <w:bCs/>
          <w:color w:val="2E75B6"/>
          <w:sz w:val="26"/>
          <w:szCs w:val="26"/>
        </w:rPr>
        <w:t xml:space="preserve">8.1 Access Patterns</w:t>
      </w:r>
    </w:p>
    <w:p>
      <w:pPr>
        <w:pStyle w:val="ListParagraph"/>
        <w:numPr>
          <w:ilvl w:val="0"/>
          <w:numId w:val="2"/>
        </w:numPr>
        <w:spacing w:before="60" w:after="60"/>
      </w:pPr>
      <w:r>
        <w:rPr>
          <w:rFonts w:ascii="Arial" w:cs="Arial" w:eastAsia="Arial" w:hAnsi="Arial"/>
          <w:color w:val="1A1A1A"/>
          <w:sz w:val="22"/>
          <w:szCs w:val="22"/>
        </w:rPr>
        <w:t xml:space="preserve">Ad-hoc SQL Analysis: Direct BigQuery access via the BigQuery Console or bq CLI, scoped to jhbi_gold_internal (cross-FI authorized views) and jhbi_silver_internal (internal analyst views)</w:t>
      </w:r>
    </w:p>
    <w:p>
      <w:pPr>
        <w:pStyle w:val="ListParagraph"/>
        <w:numPr>
          <w:ilvl w:val="0"/>
          <w:numId w:val="2"/>
        </w:numPr>
        <w:spacing w:before="60" w:after="60"/>
      </w:pPr>
      <w:r>
        <w:rPr>
          <w:rFonts w:ascii="Arial" w:cs="Arial" w:eastAsia="Arial" w:hAnsi="Arial"/>
          <w:color w:val="1A1A1A"/>
          <w:sz w:val="22"/>
          <w:szCs w:val="22"/>
        </w:rPr>
        <w:t xml:space="preserve">Data Science / ML: Vertex AI Workbench notebooks in jhbi-internal-prod with pre-authenticated BigQuery client; access to Gold and Silver layers with full cross-FI scope</w:t>
      </w:r>
    </w:p>
    <w:p>
      <w:pPr>
        <w:pStyle w:val="ListParagraph"/>
        <w:numPr>
          <w:ilvl w:val="0"/>
          <w:numId w:val="2"/>
        </w:numPr>
        <w:spacing w:before="60" w:after="60"/>
      </w:pPr>
      <w:r>
        <w:rPr>
          <w:rFonts w:ascii="Arial" w:cs="Arial" w:eastAsia="Arial" w:hAnsi="Arial"/>
          <w:color w:val="1A1A1A"/>
          <w:sz w:val="22"/>
          <w:szCs w:val="22"/>
        </w:rPr>
        <w:t xml:space="preserve">Internal BI Dashboards: Looker or Looker Studio connected to BigQuery Gold layer; internal Power BI workspace connected via XMLA endpoint</w:t>
      </w:r>
    </w:p>
    <w:p>
      <w:pPr>
        <w:pStyle w:val="ListParagraph"/>
        <w:numPr>
          <w:ilvl w:val="0"/>
          <w:numId w:val="2"/>
        </w:numPr>
        <w:spacing w:before="60" w:after="60"/>
      </w:pPr>
      <w:r>
        <w:rPr>
          <w:rFonts w:ascii="Arial" w:cs="Arial" w:eastAsia="Arial" w:hAnsi="Arial"/>
          <w:color w:val="1A1A1A"/>
          <w:sz w:val="22"/>
          <w:szCs w:val="22"/>
        </w:rPr>
        <w:t xml:space="preserve">Cross-FI Aggregate Views: BigQuery Authorized Views in jhbi_gold_internal expose aggregate metrics (volume by payment rail, FI adoption cohorts, anomaly signals) without exposing raw per-FI transaction rows to non-authorized roles</w:t>
      </w:r>
    </w:p>
    <w:p>
      <w:pPr>
        <w:pStyle w:val="ListParagraph"/>
        <w:numPr>
          <w:ilvl w:val="0"/>
          <w:numId w:val="2"/>
        </w:numPr>
        <w:spacing w:before="60" w:after="60"/>
      </w:pPr>
      <w:r>
        <w:rPr>
          <w:rFonts w:ascii="Arial" w:cs="Arial" w:eastAsia="Arial" w:hAnsi="Arial"/>
          <w:color w:val="1A1A1A"/>
          <w:sz w:val="22"/>
          <w:szCs w:val="22"/>
        </w:rPr>
        <w:t xml:space="preserve">Analytics Hub: Internal Analytics Hub listings allow authorized internal teams to subscribe to curated Gold datasets without needing direct project IAM</w:t>
      </w:r>
    </w:p>
    <w:p>
      <w:pPr>
        <w:spacing w:before="60" w:after="60"/>
      </w:pPr>
      <w:r>
        <w:t xml:space="preserve"/>
      </w:r>
    </w:p>
    <w:p>
      <w:pPr>
        <w:pStyle w:val="Heading2"/>
        <w:spacing w:before="200" w:after="120"/>
      </w:pPr>
      <w:r>
        <w:rPr>
          <w:rFonts w:ascii="Arial" w:cs="Arial" w:eastAsia="Arial" w:hAnsi="Arial"/>
          <w:b/>
          <w:bCs/>
          <w:color w:val="2E75B6"/>
          <w:sz w:val="26"/>
          <w:szCs w:val="26"/>
        </w:rPr>
        <w:t xml:space="preserve">8.2 Internal IAM Role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Google Group</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BigQuery Role(s)</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Authorized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jhbi-data-admins@jh.com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roles/bigquery.admin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Full access to all datasets in all environments; can create/modify IAM policies on datasets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jhbi-data-engineers@jh.com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roles/bigquery.dataEditor</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Read/write access to Bronze/Silver/Gold in prod; create views; cannot modify IAM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jhbi-analysts@jh.com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roles/bigquery.dataViewer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Read-only access to jhbi_gold_internal and cross-FI authorized views; no raw Bronze access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jhbi-data-scientists@jh.com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roles/bigquery.dataViewer + Vertex AI User</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Read Gold and Silver across all FIs; Vertex AI Workbench notebooks; cannot export raw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jhbi-compliance@jh.com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roles/bigquery.dataViewer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Read-only access to audit logs, DQ reports, Dataplex lineage; restricted to compliance-scoped views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jhbi-pipeline-sa@jh-datalake.iam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roles/bigquery.dataEditor</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Service account for Dataform / Composer pipelines; scoped to specific dataset write access only</w:t>
            </w:r>
          </w:p>
        </w:tc>
      </w:tr>
    </w:tbl>
    <w:p>
      <w:pPr>
        <w:spacing w:before="60" w:after="60"/>
      </w:pPr>
      <w:r>
        <w:t xml:space="preserve"/>
      </w:r>
    </w:p>
    <w:p>
      <w:pPr>
        <w:pStyle w:val="Heading2"/>
        <w:spacing w:before="200" w:after="120"/>
      </w:pPr>
      <w:r>
        <w:rPr>
          <w:rFonts w:ascii="Arial" w:cs="Arial" w:eastAsia="Arial" w:hAnsi="Arial"/>
          <w:b/>
          <w:bCs/>
          <w:color w:val="2E75B6"/>
          <w:sz w:val="26"/>
          <w:szCs w:val="26"/>
        </w:rPr>
        <w:t xml:space="preserve">8.3 Cross-FI Authorized View Pattern</w:t>
      </w:r>
    </w:p>
    <w:p>
      <w:pPr>
        <w:spacing w:before="80" w:after="80"/>
      </w:pPr>
      <w:r>
        <w:rPr>
          <w:rFonts w:ascii="Arial" w:cs="Arial" w:eastAsia="Arial" w:hAnsi="Arial"/>
          <w:color w:val="1A1A1A"/>
          <w:sz w:val="22"/>
          <w:szCs w:val="22"/>
        </w:rPr>
        <w:t xml:space="preserve">To enable aggregate cross-FI analytics while maintaining tenant isolation, all cross-FI queries operate through BigQuery Authorized Views — never by granting direct table access:</w:t>
      </w:r>
    </w:p>
    <w:p>
      <w:pPr>
        <w:spacing w:before="60" w:after="60"/>
      </w:pPr>
      <w:r>
        <w:t xml:space="preserve"/>
      </w:r>
    </w:p>
    <w:p>
      <w:pPr>
        <w:pStyle w:val="ListParagraph"/>
        <w:numPr>
          <w:ilvl w:val="0"/>
          <w:numId w:val="2"/>
        </w:numPr>
        <w:spacing w:before="60" w:after="60"/>
      </w:pPr>
      <w:r>
        <w:rPr>
          <w:rFonts w:ascii="Arial" w:cs="Arial" w:eastAsia="Arial" w:hAnsi="Arial"/>
          <w:color w:val="1A1A1A"/>
          <w:sz w:val="22"/>
          <w:szCs w:val="22"/>
        </w:rPr>
        <w:t xml:space="preserve">Authorized View Definition: Views in jhbi_gold_internal are defined with explicit GROUP BY fi_id aggregations so individual FI data cannot be reverse-engineered from output</w:t>
      </w:r>
    </w:p>
    <w:p>
      <w:pPr>
        <w:pStyle w:val="ListParagraph"/>
        <w:numPr>
          <w:ilvl w:val="0"/>
          <w:numId w:val="2"/>
        </w:numPr>
        <w:spacing w:before="60" w:after="60"/>
      </w:pPr>
      <w:r>
        <w:rPr>
          <w:rFonts w:ascii="Arial" w:cs="Arial" w:eastAsia="Arial" w:hAnsi="Arial"/>
          <w:color w:val="1A1A1A"/>
          <w:sz w:val="22"/>
          <w:szCs w:val="22"/>
        </w:rPr>
        <w:t xml:space="preserve">View Authorization: Views are added to the authorized_views list of each per-FI dataset, allowing the query to cross dataset boundaries without granting the analyst access to the underlying source tables</w:t>
      </w:r>
    </w:p>
    <w:p>
      <w:pPr>
        <w:pStyle w:val="ListParagraph"/>
        <w:numPr>
          <w:ilvl w:val="0"/>
          <w:numId w:val="2"/>
        </w:numPr>
        <w:spacing w:before="60" w:after="60"/>
      </w:pPr>
      <w:r>
        <w:rPr>
          <w:rFonts w:ascii="Arial" w:cs="Arial" w:eastAsia="Arial" w:hAnsi="Arial"/>
          <w:color w:val="1A1A1A"/>
          <w:sz w:val="22"/>
          <w:szCs w:val="22"/>
        </w:rPr>
        <w:t xml:space="preserve">Row Filter Safety: Any view that joins per-FI data must include a predicate that prevents full row disclosure of transaction-level data to non-admin roles</w:t>
      </w:r>
    </w:p>
    <w:p>
      <w:pPr>
        <w:pStyle w:val="ListParagraph"/>
        <w:numPr>
          <w:ilvl w:val="0"/>
          <w:numId w:val="2"/>
        </w:numPr>
        <w:spacing w:before="60" w:after="60"/>
      </w:pPr>
      <w:r>
        <w:rPr>
          <w:rFonts w:ascii="Arial" w:cs="Arial" w:eastAsia="Arial" w:hAnsi="Arial"/>
          <w:color w:val="1A1A1A"/>
          <w:sz w:val="22"/>
          <w:szCs w:val="22"/>
        </w:rPr>
        <w:t xml:space="preserve">Example Use Cases: Payment volume trends by rail across all FIs (anonymized), FI adoption cohort analysis, anomaly detection signals across the JH network, entity resolution quality metrics</w:t>
      </w:r>
    </w:p>
    <w:p>
      <w:pPr>
        <w:spacing w:before="60" w:after="60"/>
      </w:pPr>
      <w:r>
        <w:t xml:space="preserve"/>
      </w:r>
    </w:p>
    <w:p>
      <w:pPr>
        <w:pStyle w:val="Heading2"/>
        <w:spacing w:before="200" w:after="120"/>
      </w:pPr>
      <w:r>
        <w:rPr>
          <w:rFonts w:ascii="Arial" w:cs="Arial" w:eastAsia="Arial" w:hAnsi="Arial"/>
          <w:b/>
          <w:bCs/>
          <w:color w:val="2E75B6"/>
          <w:sz w:val="26"/>
          <w:szCs w:val="26"/>
        </w:rPr>
        <w:t xml:space="preserve">8.4 Vertex AI Integration (Internal)</w:t>
      </w:r>
    </w:p>
    <w:p>
      <w:pPr>
        <w:pStyle w:val="ListParagraph"/>
        <w:numPr>
          <w:ilvl w:val="0"/>
          <w:numId w:val="2"/>
        </w:numPr>
        <w:spacing w:before="60" w:after="60"/>
      </w:pPr>
      <w:r>
        <w:rPr>
          <w:rFonts w:ascii="Arial" w:cs="Arial" w:eastAsia="Arial" w:hAnsi="Arial"/>
          <w:color w:val="1A1A1A"/>
          <w:sz w:val="22"/>
          <w:szCs w:val="22"/>
        </w:rPr>
        <w:t xml:space="preserve">Vertex AI Workbench: Managed notebooks in jhbi-internal-prod; pre-configured with BigQuery Python client, authorized service account, and access to Gold + Silver layers</w:t>
      </w:r>
    </w:p>
    <w:p>
      <w:pPr>
        <w:pStyle w:val="ListParagraph"/>
        <w:numPr>
          <w:ilvl w:val="0"/>
          <w:numId w:val="2"/>
        </w:numPr>
        <w:spacing w:before="60" w:after="60"/>
      </w:pPr>
      <w:r>
        <w:rPr>
          <w:rFonts w:ascii="Arial" w:cs="Arial" w:eastAsia="Arial" w:hAnsi="Arial"/>
          <w:color w:val="1A1A1A"/>
          <w:sz w:val="22"/>
          <w:szCs w:val="22"/>
        </w:rPr>
        <w:t xml:space="preserve">Vertex AI Search (Text-to-SQL): The AI-Query Tool in the Portal (MVP Component) is powered by Vertex AI Search + Conversation — given the Gold schema as context, FI users (and internal analysts) can ask natural language questions that are translated to BigQuery SQL</w:t>
      </w:r>
    </w:p>
    <w:p>
      <w:pPr>
        <w:pStyle w:val="ListParagraph"/>
        <w:numPr>
          <w:ilvl w:val="0"/>
          <w:numId w:val="2"/>
        </w:numPr>
        <w:spacing w:before="60" w:after="60"/>
      </w:pPr>
      <w:r>
        <w:rPr>
          <w:rFonts w:ascii="Arial" w:cs="Arial" w:eastAsia="Arial" w:hAnsi="Arial"/>
          <w:color w:val="1A1A1A"/>
          <w:sz w:val="22"/>
          <w:szCs w:val="22"/>
        </w:rPr>
        <w:t xml:space="preserve">Future: Vertex AI Feature Store for cross-FI ML feature management; Vertex AI Pipelines for model training on aggregate payment patterns</w:t>
      </w:r>
    </w:p>
    <w:p>
      <w:pPr>
        <w:spacing w:before="60" w:after="60"/>
      </w:pPr>
      <w:r>
        <w:t xml:space="preserve"/>
      </w:r>
    </w:p>
    <w:p>
      <w:pPr>
        <w:pStyle w:val="Heading1"/>
        <w:pageBreakBefore/>
        <w:spacing w:before="240" w:after="200"/>
      </w:pPr>
      <w:r>
        <w:rPr>
          <w:rFonts w:ascii="Arial" w:cs="Arial" w:eastAsia="Arial" w:hAnsi="Arial"/>
          <w:b/>
          <w:bCs/>
          <w:color w:val="1F4E79"/>
          <w:sz w:val="32"/>
          <w:szCs w:val="32"/>
        </w:rPr>
        <w:t xml:space="preserve">9. External Use Architecture — Per-FI Access</w:t>
      </w:r>
    </w:p>
    <w:p>
      <w:pPr>
        <w:spacing w:before="80" w:after="80"/>
      </w:pPr>
      <w:r>
        <w:rPr>
          <w:rFonts w:ascii="Arial" w:cs="Arial" w:eastAsia="Arial" w:hAnsi="Arial"/>
          <w:color w:val="1A1A1A"/>
          <w:sz w:val="22"/>
          <w:szCs w:val="22"/>
        </w:rPr>
        <w:t xml:space="preserve">The external use case provides each Financial Institution client with secure, isolated access to their own data through two channels: (1) the JHBI User Portal and (2) the Data Services REST APIs. External users never have direct BigQuery access — all queries are mediated through APIs or the portal.</w:t>
      </w:r>
    </w:p>
    <w:p>
      <w:pPr>
        <w:spacing w:before="60" w:after="60"/>
      </w:pPr>
      <w:r>
        <w:t xml:space="preserve"/>
      </w:r>
    </w:p>
    <w:p>
      <w:pPr>
        <w:pStyle w:val="Heading2"/>
        <w:spacing w:before="200" w:after="120"/>
      </w:pPr>
      <w:r>
        <w:rPr>
          <w:rFonts w:ascii="Arial" w:cs="Arial" w:eastAsia="Arial" w:hAnsi="Arial"/>
          <w:b/>
          <w:bCs/>
          <w:color w:val="2E75B6"/>
          <w:sz w:val="26"/>
          <w:szCs w:val="26"/>
        </w:rPr>
        <w:t xml:space="preserve">9.1 Multi-Tenant Isolation Strategy</w:t>
      </w:r>
    </w:p>
    <w:p>
      <w:pPr>
        <w:spacing w:before="80" w:after="80"/>
      </w:pPr>
      <w:r>
        <w:rPr>
          <w:rFonts w:ascii="Arial" w:cs="Arial" w:eastAsia="Arial" w:hAnsi="Arial"/>
          <w:color w:val="1A1A1A"/>
          <w:sz w:val="22"/>
          <w:szCs w:val="22"/>
        </w:rPr>
        <w:t xml:space="preserve">JHBI uses a hybrid isolation model for the MVP, balancing operational simplicity with strong tenant isolation: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Isolation Mechanism</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How It Works</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Applied 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Per-FI BigQuery Datasets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Each FI has its own jhbi_bronze_{fi_id}, jhbi_silver_{fi_id}, and jhbi_gold_{fi_id} datasets. IAM dataset-level ACLs prevent cross-tenant reads.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Bronze, Silver, Gold layers — hard dataset boundary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Row-Level Security (RLS)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BigQuery Row Access Policies enforce fi_id = SESSION_USER() mapping on shared operational views. Provides defense-in-depth within cross-FI internal views.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Silver and Gold — operational views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API-Layer Tenant Enforcement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 Run Data Services APIs validate OAuth token claims (fi_id claim from Cloud Identity) and inject WHERE fi_id = ? on every BigQuery parameterized query. No query is executed without a valid FI identity claim.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All API endpoints — mandatory filter injection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VPC Service Controls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Service perimeter prevents BigQuery data from leaving the jhbi-* project boundary. External FI access routes only through API Gateway + Cloud Run — never directly to BigQuery.</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Organization-wide perimeter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Column-Level Access Policies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Tokenized PAN columns and high-sensitivity fields have BigQuery Column-Level Access Policies. Only DLP-authorized service accounts can read raw tokenized values.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Bronze and Silver — sensitive columns</w:t>
            </w:r>
          </w:p>
        </w:tc>
      </w:tr>
    </w:tbl>
    <w:p>
      <w:pPr>
        <w:spacing w:before="60" w:after="60"/>
      </w:pPr>
      <w:r>
        <w:t xml:space="preserve"/>
      </w:r>
    </w:p>
    <w:p>
      <w:pPr>
        <w:pStyle w:val="Heading2"/>
        <w:spacing w:before="200" w:after="120"/>
      </w:pPr>
      <w:r>
        <w:rPr>
          <w:rFonts w:ascii="Arial" w:cs="Arial" w:eastAsia="Arial" w:hAnsi="Arial"/>
          <w:b/>
          <w:bCs/>
          <w:color w:val="2E75B6"/>
          <w:sz w:val="26"/>
          <w:szCs w:val="26"/>
        </w:rPr>
        <w:t xml:space="preserve">9.2 Data Services API Architecture</w:t>
      </w:r>
    </w:p>
    <w:p>
      <w:pPr>
        <w:spacing w:before="80" w:after="80"/>
      </w:pPr>
      <w:r>
        <w:rPr>
          <w:rFonts w:ascii="Arial" w:cs="Arial" w:eastAsia="Arial" w:hAnsi="Arial"/>
          <w:color w:val="1A1A1A"/>
          <w:sz w:val="22"/>
          <w:szCs w:val="22"/>
        </w:rPr>
        <w:t xml:space="preserve">RESTful APIs provide FIs with programmatic access to unified household, customer, account, and transaction data. The API layer runs on Cloud Run in jhbi-services-prod with API Gateway as the managed front-door.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Source &amp; Behavior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GET /households/{householdId}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GET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 Spanner (HouseholdMDM) — household profile. fi_id injected from token.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GET /households/{householdId}/customers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GET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 Spanner bridge table (CustomerMDM). Returns all customers for household.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GET /customers/{customerId}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GET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 Spanner (CustomerMDM) — customer profile and demographics.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GET /customers/{customerId}/accounts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GET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 Spanner bridge table (AccountMDM). Returns all accounts for customer.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GET /accounts/{accountId}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GET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 Spanner (AccountMDM) — account details and balance summary.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GET /accounts/{accountId}/transactions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GET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BigQuery Gold (fact_payment_transactions, fi_id-filtered). Supports date range, payment rail, and pagination params. Target: &lt; 500ms P95.</w:t>
            </w:r>
          </w:p>
        </w:tc>
      </w:tr>
    </w:tbl>
    <w:p>
      <w:pPr>
        <w:spacing w:before="60" w:after="60"/>
      </w:pPr>
      <w:r>
        <w:t xml:space="preserve"/>
      </w:r>
    </w:p>
    <w:p>
      <w:pPr>
        <w:pStyle w:val="Heading3"/>
        <w:spacing w:before="160" w:after="100"/>
      </w:pPr>
      <w:r>
        <w:rPr>
          <w:rFonts w:ascii="Arial" w:cs="Arial" w:eastAsia="Arial" w:hAnsi="Arial"/>
          <w:b/>
          <w:bCs/>
          <w:color w:val="404040"/>
          <w:sz w:val="24"/>
          <w:szCs w:val="24"/>
        </w:rPr>
        <w:t xml:space="preserve">API Infrastructure Components</w:t>
      </w:r>
    </w:p>
    <w:p>
      <w:pPr>
        <w:pStyle w:val="ListParagraph"/>
        <w:numPr>
          <w:ilvl w:val="0"/>
          <w:numId w:val="2"/>
        </w:numPr>
        <w:spacing w:before="60" w:after="60"/>
      </w:pPr>
      <w:r>
        <w:rPr>
          <w:rFonts w:ascii="Arial" w:cs="Arial" w:eastAsia="Arial" w:hAnsi="Arial"/>
          <w:color w:val="1A1A1A"/>
          <w:sz w:val="22"/>
          <w:szCs w:val="22"/>
        </w:rPr>
        <w:t xml:space="preserve">API Gateway: Managed API Gateway in jhbi-services-prod handles SSL termination, OAuth 2.0 JWT validation (validates fi_id and scope claims), rate limiting (100 req/min per FI — configurable), request logging</w:t>
      </w:r>
    </w:p>
    <w:p>
      <w:pPr>
        <w:pStyle w:val="ListParagraph"/>
        <w:numPr>
          <w:ilvl w:val="0"/>
          <w:numId w:val="2"/>
        </w:numPr>
        <w:spacing w:before="60" w:after="60"/>
      </w:pPr>
      <w:r>
        <w:rPr>
          <w:rFonts w:ascii="Arial" w:cs="Arial" w:eastAsia="Arial" w:hAnsi="Arial"/>
          <w:color w:val="1A1A1A"/>
          <w:sz w:val="22"/>
          <w:szCs w:val="22"/>
        </w:rPr>
        <w:t xml:space="preserve">Cloud Run Services: Containerized Go or Python FastAPI microservices; one service per domain (Household, Customer, Account, Transaction); auto-scales to zero during off-hours; minimum 2 instances in prod for availability</w:t>
      </w:r>
    </w:p>
    <w:p>
      <w:pPr>
        <w:pStyle w:val="ListParagraph"/>
        <w:numPr>
          <w:ilvl w:val="0"/>
          <w:numId w:val="2"/>
        </w:numPr>
        <w:spacing w:before="60" w:after="60"/>
      </w:pPr>
      <w:r>
        <w:rPr>
          <w:rFonts w:ascii="Arial" w:cs="Arial" w:eastAsia="Arial" w:hAnsi="Arial"/>
          <w:color w:val="1A1A1A"/>
          <w:sz w:val="22"/>
          <w:szCs w:val="22"/>
        </w:rPr>
        <w:t xml:space="preserve">Cloud Armor: WAF policies on API Gateway — OWASP top-10 rule set, geo-restriction, IP allowlist for FI-registered CIDR blocks</w:t>
      </w:r>
    </w:p>
    <w:p>
      <w:pPr>
        <w:pStyle w:val="ListParagraph"/>
        <w:numPr>
          <w:ilvl w:val="0"/>
          <w:numId w:val="2"/>
        </w:numPr>
        <w:spacing w:before="60" w:after="60"/>
      </w:pPr>
      <w:r>
        <w:rPr>
          <w:rFonts w:ascii="Arial" w:cs="Arial" w:eastAsia="Arial" w:hAnsi="Arial"/>
          <w:color w:val="1A1A1A"/>
          <w:sz w:val="22"/>
          <w:szCs w:val="22"/>
        </w:rPr>
        <w:t xml:space="preserve">Cloud Spanner: Handles all entity lookup reads (&lt; 10ms P99) due to in-memory serving of warm Spanner rows</w:t>
      </w:r>
    </w:p>
    <w:p>
      <w:pPr>
        <w:pStyle w:val="ListParagraph"/>
        <w:numPr>
          <w:ilvl w:val="0"/>
          <w:numId w:val="2"/>
        </w:numPr>
        <w:spacing w:before="60" w:after="60"/>
      </w:pPr>
      <w:r>
        <w:rPr>
          <w:rFonts w:ascii="Arial" w:cs="Arial" w:eastAsia="Arial" w:hAnsi="Arial"/>
          <w:color w:val="1A1A1A"/>
          <w:sz w:val="22"/>
          <w:szCs w:val="22"/>
        </w:rPr>
        <w:t xml:space="preserve">BigQuery (Transaction endpoint): Parameterized queries with fi_id injection; BI Engine accelerates Gold table reads; query cost budgets per FI enforced via BigQuery IAM</w:t>
      </w:r>
    </w:p>
    <w:p>
      <w:pPr>
        <w:pStyle w:val="ListParagraph"/>
        <w:numPr>
          <w:ilvl w:val="0"/>
          <w:numId w:val="2"/>
        </w:numPr>
        <w:spacing w:before="60" w:after="60"/>
      </w:pPr>
      <w:r>
        <w:rPr>
          <w:rFonts w:ascii="Arial" w:cs="Arial" w:eastAsia="Arial" w:hAnsi="Arial"/>
          <w:color w:val="1A1A1A"/>
          <w:sz w:val="22"/>
          <w:szCs w:val="22"/>
        </w:rPr>
        <w:t xml:space="preserve">Secret Manager: Database connection strings, service account keys, API signing secrets stored in Secret Manager; accessed by Cloud Run via Workload Identity — no hardcoded credentials</w:t>
      </w:r>
    </w:p>
    <w:p>
      <w:pPr>
        <w:spacing w:before="60" w:after="60"/>
      </w:pPr>
      <w:r>
        <w:t xml:space="preserve"/>
      </w:r>
    </w:p>
    <w:p>
      <w:pPr>
        <w:pStyle w:val="Heading2"/>
        <w:spacing w:before="200" w:after="120"/>
      </w:pPr>
      <w:r>
        <w:rPr>
          <w:rFonts w:ascii="Arial" w:cs="Arial" w:eastAsia="Arial" w:hAnsi="Arial"/>
          <w:b/>
          <w:bCs/>
          <w:color w:val="2E75B6"/>
          <w:sz w:val="26"/>
          <w:szCs w:val="26"/>
        </w:rPr>
        <w:t xml:space="preserve">9.3 Authentication &amp; Authorization for FI Users</w:t>
      </w:r>
    </w:p>
    <w:p>
      <w:pPr>
        <w:pStyle w:val="ListParagraph"/>
        <w:numPr>
          <w:ilvl w:val="0"/>
          <w:numId w:val="2"/>
        </w:numPr>
        <w:spacing w:before="60" w:after="60"/>
      </w:pPr>
      <w:r>
        <w:rPr>
          <w:rFonts w:ascii="Arial" w:cs="Arial" w:eastAsia="Arial" w:hAnsi="Arial"/>
          <w:color w:val="1A1A1A"/>
          <w:sz w:val="22"/>
          <w:szCs w:val="22"/>
        </w:rPr>
        <w:t xml:space="preserve">Primary Auth: OAuth 2.0 + OIDC via Cloud Identity (managed identity provider for JHBI FI clients). Each FI is a distinct Identity tenant. FI system administrators manage their own user provisioning.</w:t>
      </w:r>
    </w:p>
    <w:p>
      <w:pPr>
        <w:pStyle w:val="ListParagraph"/>
        <w:numPr>
          <w:ilvl w:val="0"/>
          <w:numId w:val="2"/>
        </w:numPr>
        <w:spacing w:before="60" w:after="60"/>
      </w:pPr>
      <w:r>
        <w:rPr>
          <w:rFonts w:ascii="Arial" w:cs="Arial" w:eastAsia="Arial" w:hAnsi="Arial"/>
          <w:color w:val="1A1A1A"/>
          <w:sz w:val="22"/>
          <w:szCs w:val="22"/>
        </w:rPr>
        <w:t xml:space="preserve">FI Service Accounts: Each FI integration receives a dedicated GCP Service Account in jhbi-services-prod with the minimum IAM role needed to call the API (roles/run.invoker on specific Cloud Run services). Service account keys are rotated via Workload Identity Federation where possible.</w:t>
      </w:r>
    </w:p>
    <w:p>
      <w:pPr>
        <w:pStyle w:val="ListParagraph"/>
        <w:numPr>
          <w:ilvl w:val="0"/>
          <w:numId w:val="2"/>
        </w:numPr>
        <w:spacing w:before="60" w:after="60"/>
      </w:pPr>
      <w:r>
        <w:rPr>
          <w:rFonts w:ascii="Arial" w:cs="Arial" w:eastAsia="Arial" w:hAnsi="Arial"/>
          <w:color w:val="1A1A1A"/>
          <w:sz w:val="22"/>
          <w:szCs w:val="22"/>
        </w:rPr>
        <w:t xml:space="preserve">JWT Claims: Access tokens include: sub (user or service identity), fi_id (FI tenant identifier, injected by Cloud Identity), roles (data_viewer / data_analyst / admin within FI scope), scope (which API endpoints are permitted)</w:t>
      </w:r>
    </w:p>
    <w:p>
      <w:pPr>
        <w:pStyle w:val="ListParagraph"/>
        <w:numPr>
          <w:ilvl w:val="0"/>
          <w:numId w:val="2"/>
        </w:numPr>
        <w:spacing w:before="60" w:after="60"/>
      </w:pPr>
      <w:r>
        <w:rPr>
          <w:rFonts w:ascii="Arial" w:cs="Arial" w:eastAsia="Arial" w:hAnsi="Arial"/>
          <w:color w:val="1A1A1A"/>
          <w:sz w:val="22"/>
          <w:szCs w:val="22"/>
        </w:rPr>
        <w:t xml:space="preserve">Portal Authentication: Firebase Authentication with OIDC provider (Cloud Identity); session tokens issued for Portal UI; Cloud IAP used as additional authentication layer for the Cloud Run portal backend</w:t>
      </w:r>
    </w:p>
    <w:p>
      <w:pPr>
        <w:pStyle w:val="ListParagraph"/>
        <w:numPr>
          <w:ilvl w:val="0"/>
          <w:numId w:val="2"/>
        </w:numPr>
        <w:spacing w:before="60" w:after="60"/>
      </w:pPr>
      <w:r>
        <w:rPr>
          <w:rFonts w:ascii="Arial" w:cs="Arial" w:eastAsia="Arial" w:hAnsi="Arial"/>
          <w:color w:val="1A1A1A"/>
          <w:sz w:val="22"/>
          <w:szCs w:val="22"/>
        </w:rPr>
        <w:t xml:space="preserve">Rate Limiting &amp; Quotas: Per-FI rate limits enforced at API Gateway; BigQuery slot reservations allocated per FI to prevent noisy-neighbor query cost issues</w:t>
      </w:r>
    </w:p>
    <w:p>
      <w:pPr>
        <w:spacing w:before="60" w:after="60"/>
      </w:pPr>
      <w:r>
        <w:t xml:space="preserve"/>
      </w:r>
    </w:p>
    <w:p>
      <w:pPr>
        <w:pStyle w:val="Heading2"/>
        <w:spacing w:before="200" w:after="120"/>
      </w:pPr>
      <w:r>
        <w:rPr>
          <w:rFonts w:ascii="Arial" w:cs="Arial" w:eastAsia="Arial" w:hAnsi="Arial"/>
          <w:b/>
          <w:bCs/>
          <w:color w:val="2E75B6"/>
          <w:sz w:val="26"/>
          <w:szCs w:val="26"/>
        </w:rPr>
        <w:t xml:space="preserve">9.4 User Portal Architecture</w:t>
      </w:r>
    </w:p>
    <w:p>
      <w:pPr>
        <w:spacing w:before="80" w:after="80"/>
      </w:pPr>
      <w:r>
        <w:rPr>
          <w:rFonts w:ascii="Arial" w:cs="Arial" w:eastAsia="Arial" w:hAnsi="Arial"/>
          <w:color w:val="1A1A1A"/>
          <w:sz w:val="22"/>
          <w:szCs w:val="22"/>
        </w:rPr>
        <w:t xml:space="preserve">The JHBI User Portal is the central gateway for FI users to discover data assets, view data quality, explore schemas, and access reports. It is built as a Cloud Run web application with Firebase Hosting for static assets.</w:t>
      </w:r>
    </w:p>
    <w:p>
      <w:pPr>
        <w:spacing w:before="60" w:after="60"/>
      </w:pPr>
      <w:r>
        <w:t xml:space="preserve"/>
      </w:r>
    </w:p>
    <w:p>
      <w:pPr>
        <w:pStyle w:val="ListParagraph"/>
        <w:numPr>
          <w:ilvl w:val="0"/>
          <w:numId w:val="2"/>
        </w:numPr>
        <w:spacing w:before="60" w:after="60"/>
      </w:pPr>
      <w:r>
        <w:rPr>
          <w:rFonts w:ascii="Arial" w:cs="Arial" w:eastAsia="Arial" w:hAnsi="Arial"/>
          <w:color w:val="1A1A1A"/>
          <w:sz w:val="22"/>
          <w:szCs w:val="22"/>
        </w:rPr>
        <w:t xml:space="preserve">Frontend: React SPA hosted on Firebase Hosting (CDN-distributed globally); static assets served from Firebase, dynamic content via API calls to Cloud Run backend</w:t>
      </w:r>
    </w:p>
    <w:p>
      <w:pPr>
        <w:pStyle w:val="ListParagraph"/>
        <w:numPr>
          <w:ilvl w:val="0"/>
          <w:numId w:val="2"/>
        </w:numPr>
        <w:spacing w:before="60" w:after="60"/>
      </w:pPr>
      <w:r>
        <w:rPr>
          <w:rFonts w:ascii="Arial" w:cs="Arial" w:eastAsia="Arial" w:hAnsi="Arial"/>
          <w:color w:val="1A1A1A"/>
          <w:sz w:val="22"/>
          <w:szCs w:val="22"/>
        </w:rPr>
        <w:t xml:space="preserve">Backend: Cloud Run service (Node.js or Python FastAPI) in jhbi-services-prod; authenticates via Cloud IAP + Firebase Auth; calls Dataplex API (catalog search, lineage), BigQuery (DQ scores, schema preview), and Cloud Run Data Services APIs</w:t>
      </w:r>
    </w:p>
    <w:p>
      <w:pPr>
        <w:pStyle w:val="ListParagraph"/>
        <w:numPr>
          <w:ilvl w:val="0"/>
          <w:numId w:val="2"/>
        </w:numPr>
        <w:spacing w:before="60" w:after="60"/>
      </w:pPr>
      <w:r>
        <w:rPr>
          <w:rFonts w:ascii="Arial" w:cs="Arial" w:eastAsia="Arial" w:hAnsi="Arial"/>
          <w:color w:val="1A1A1A"/>
          <w:sz w:val="22"/>
          <w:szCs w:val="22"/>
        </w:rPr>
        <w:t xml:space="preserve">Cloud Functions: Lightweight serverless functions for event-driven actions (e.g., data catalog refresh triggers, portal activity logging)</w:t>
      </w:r>
    </w:p>
    <w:p>
      <w:pPr>
        <w:pStyle w:val="ListParagraph"/>
        <w:numPr>
          <w:ilvl w:val="0"/>
          <w:numId w:val="2"/>
        </w:numPr>
        <w:spacing w:before="60" w:after="60"/>
      </w:pPr>
      <w:r>
        <w:rPr>
          <w:rFonts w:ascii="Arial" w:cs="Arial" w:eastAsia="Arial" w:hAnsi="Arial"/>
          <w:color w:val="1A1A1A"/>
          <w:sz w:val="22"/>
          <w:szCs w:val="22"/>
        </w:rPr>
        <w:t xml:space="preserve">Portal Features (MVP): Dataplex-powered catalog search, schema browser with sample tokenized data preview, data lineage visualization, DQ scorecards, report gallery (linked to Power BI), user activity audit log</w:t>
      </w:r>
    </w:p>
    <w:p>
      <w:pPr>
        <w:pStyle w:val="ListParagraph"/>
        <w:numPr>
          <w:ilvl w:val="0"/>
          <w:numId w:val="2"/>
        </w:numPr>
        <w:spacing w:before="60" w:after="60"/>
      </w:pPr>
      <w:r>
        <w:rPr>
          <w:rFonts w:ascii="Arial" w:cs="Arial" w:eastAsia="Arial" w:hAnsi="Arial"/>
          <w:color w:val="1A1A1A"/>
          <w:sz w:val="22"/>
          <w:szCs w:val="22"/>
        </w:rPr>
        <w:t xml:space="preserve">AI-Query Tool: Vertex AI Search + Conversation API receives the Gold schema as context; FI user enters natural language question; Vertex generates BigQuery SQL; backend validates SQL (fi_id injection, SELECT-only enforcement), executes, returns results — all within FI's tenant scope</w:t>
      </w:r>
    </w:p>
    <w:p>
      <w:pPr>
        <w:pStyle w:val="ListParagraph"/>
        <w:numPr>
          <w:ilvl w:val="0"/>
          <w:numId w:val="2"/>
        </w:numPr>
        <w:spacing w:before="60" w:after="60"/>
      </w:pPr>
      <w:r>
        <w:rPr>
          <w:rFonts w:ascii="Arial" w:cs="Arial" w:eastAsia="Arial" w:hAnsi="Arial"/>
          <w:color w:val="1A1A1A"/>
          <w:sz w:val="22"/>
          <w:szCs w:val="22"/>
        </w:rPr>
        <w:t xml:space="preserve">Audit Logging: All portal actions (search, schema view, data preview, report access) logged to Cloud Logging with fi_id, user_id, action, and timestamp; exported to BigQuery for compliance reporting</w:t>
      </w:r>
    </w:p>
    <w:p>
      <w:pPr>
        <w:spacing w:before="60" w:after="60"/>
      </w:pPr>
      <w:r>
        <w:t xml:space="preserve"/>
      </w:r>
    </w:p>
    <w:p>
      <w:pPr>
        <w:pStyle w:val="Heading1"/>
        <w:pageBreakBefore/>
        <w:spacing w:before="240" w:after="200"/>
      </w:pPr>
      <w:r>
        <w:rPr>
          <w:rFonts w:ascii="Arial" w:cs="Arial" w:eastAsia="Arial" w:hAnsi="Arial"/>
          <w:b/>
          <w:bCs/>
          <w:color w:val="1F4E79"/>
          <w:sz w:val="32"/>
          <w:szCs w:val="32"/>
        </w:rPr>
        <w:t xml:space="preserve">10. Security &amp; Compliance Architecture</w:t>
      </w:r>
    </w:p>
    <w:p>
      <w:pPr>
        <w:pStyle w:val="Heading2"/>
        <w:spacing w:before="200" w:after="120"/>
      </w:pPr>
      <w:r>
        <w:rPr>
          <w:rFonts w:ascii="Arial" w:cs="Arial" w:eastAsia="Arial" w:hAnsi="Arial"/>
          <w:b/>
          <w:bCs/>
          <w:color w:val="2E75B6"/>
          <w:sz w:val="26"/>
          <w:szCs w:val="26"/>
        </w:rPr>
        <w:t xml:space="preserve">10.1 Security Control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Control Domain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GCP Service / Mechanism</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Encryption at Rest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 KMS (CMEK)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All BigQuery datasets, GCS buckets, Pub/Sub topics, Cloud Spanner, and Cloud Run secrets use CMEK. Key rings in jhbi-security-prod; 90-day auto-rotation.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Encryption in Transit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TLS 1.3 / Google-managed certificates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All service-to-service communication within GCP uses TLS 1.3. External API endpoints use Google-managed SSL certs via API Gateway.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Network Perimeter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VPC Service Controls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Organization-wide service perimeter covers BigQuery, GCS, Pub/Sub, Dataflow, Spanner. Ingress/egress rules allow only authenticated GCP identities within jhbi-* projects.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Identity &amp; Access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 IAM + Google Groups + Workload Identity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No user-level IAM bindings in production — all via Google Groups. Workload Identity Federation for service-to-service auth. Principle of least privilege enforced via custom roles.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PCI Compliance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 DLP + Cloud KMS + VPC SC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PAN and sensitive payment data tokenized at Dataflow stage before BigQuery ingestion. BigQuery never in PCI scope. DLP scans run on Bronze ingest and scheduled periodic re-scans.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Secrets Management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Secret Manager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All connection strings, API keys, and service account credentials stored in Secret Manager. Cloud Run and Cloud Functions access via bound service accounts — no environment variable secrets.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Threat Detection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Security Command Center + Cloud Armor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SCC Premium enabled on jhbi org folder — anomaly detection, vulnerability scanning, compliance dashboards. Cloud Armor WAF on API Gateway endpoints.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Audit Logging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 Audit Logs + BigQuery export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Data Access audit logs enabled on all BigQuery datasets, Cloud Spanner, and Secret Manager. Audit logs exported to BigQuery (jhbi_audit_logs) and retained for 7 years per compliance requirements.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API Protection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 Armor + API Gateway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OWASP top-10 protection, DDoS mitigation, IP allowlisting for FI-registered CIDRs. JWT validation at gateway — no unauthenticated requests reach Cloud Run.</w:t>
            </w:r>
          </w:p>
        </w:tc>
      </w:tr>
    </w:tbl>
    <w:p>
      <w:pPr>
        <w:spacing w:before="60" w:after="60"/>
      </w:pPr>
      <w:r>
        <w:t xml:space="preserve"/>
      </w:r>
    </w:p>
    <w:p>
      <w:pPr>
        <w:pStyle w:val="Heading2"/>
        <w:spacing w:before="200" w:after="120"/>
      </w:pPr>
      <w:r>
        <w:rPr>
          <w:rFonts w:ascii="Arial" w:cs="Arial" w:eastAsia="Arial" w:hAnsi="Arial"/>
          <w:b/>
          <w:bCs/>
          <w:color w:val="2E75B6"/>
          <w:sz w:val="26"/>
          <w:szCs w:val="26"/>
        </w:rPr>
        <w:t xml:space="preserve">10.2 PCI Data Flow Boundary</w:t>
      </w:r>
    </w:p>
    <w:p>
      <w:pPr>
        <w:spacing w:before="80" w:after="80"/>
      </w:pPr>
      <w:r>
        <w:rPr>
          <w:rFonts w:ascii="Arial" w:cs="Arial" w:eastAsia="Arial" w:hAnsi="Arial"/>
          <w:color w:val="1A1A1A"/>
          <w:sz w:val="22"/>
          <w:szCs w:val="22"/>
        </w:rPr>
        <w:t xml:space="preserve">The PCI boundary is maintained strictly within the ingestion pipeline. The following diagram describes the control boundary:</w:t>
      </w:r>
    </w:p>
    <w:p>
      <w:pPr>
        <w:spacing w:before="60" w:after="60"/>
      </w:pPr>
      <w:r>
        <w:t xml:space="preserve"/>
      </w:r>
    </w:p>
    <w:p>
      <w:pPr>
        <w:pStyle w:val="ListParagraph"/>
        <w:numPr>
          <w:ilvl w:val="0"/>
          <w:numId w:val="2"/>
        </w:numPr>
        <w:spacing w:before="60" w:after="60"/>
      </w:pPr>
      <w:r>
        <w:rPr>
          <w:rFonts w:ascii="Arial" w:cs="Arial" w:eastAsia="Arial" w:hAnsi="Arial"/>
          <w:color w:val="1A1A1A"/>
          <w:sz w:val="22"/>
          <w:szCs w:val="22"/>
        </w:rPr>
        <w:t xml:space="preserve">IN SCOPE (PCI): Source databases (EPS Ensenta, EPS ACH, PayCenter, BillPay) → GCP Datastream CDC reader → Cloud Pub/Sub message bus → Cloud Dataflow tokenization job (including DLP and KMS calls). The Dataflow worker nodes operate within a private VPC subnet with no internet egress.</w:t>
      </w:r>
    </w:p>
    <w:p>
      <w:pPr>
        <w:pStyle w:val="ListParagraph"/>
        <w:numPr>
          <w:ilvl w:val="0"/>
          <w:numId w:val="2"/>
        </w:numPr>
        <w:spacing w:before="60" w:after="60"/>
      </w:pPr>
      <w:r>
        <w:rPr>
          <w:rFonts w:ascii="Arial" w:cs="Arial" w:eastAsia="Arial" w:hAnsi="Arial"/>
          <w:color w:val="1A1A1A"/>
          <w:sz w:val="22"/>
          <w:szCs w:val="22"/>
        </w:rPr>
        <w:t xml:space="preserve">OUT OF SCOPE (Post-Tokenization): All BigQuery datasets (Bronze/Silver/Gold), Cloud Spanner, Cloud Run APIs, Firebase Portal, Vertex AI. These components only ever handle tokenized payment references, never raw PANs or routing numbers.</w:t>
      </w:r>
    </w:p>
    <w:p>
      <w:pPr>
        <w:pStyle w:val="ListParagraph"/>
        <w:numPr>
          <w:ilvl w:val="0"/>
          <w:numId w:val="2"/>
        </w:numPr>
        <w:spacing w:before="60" w:after="60"/>
      </w:pPr>
      <w:r>
        <w:rPr>
          <w:rFonts w:ascii="Arial" w:cs="Arial" w:eastAsia="Arial" w:hAnsi="Arial"/>
          <w:color w:val="1A1A1A"/>
          <w:sz w:val="22"/>
          <w:szCs w:val="22"/>
        </w:rPr>
        <w:t xml:space="preserve">Token Vault Access: The Cloud Spanner token vault (jhbi-token-vault) is accessible only by designated de-tokenization service accounts. FI-facing APIs never call the token vault — they serve tokenized or masked values only.</w:t>
      </w:r>
    </w:p>
    <w:p>
      <w:pPr>
        <w:spacing w:before="60" w:after="60"/>
      </w:pPr>
      <w:r>
        <w:t xml:space="preserve"/>
      </w:r>
    </w:p>
    <w:p>
      <w:pPr>
        <w:pStyle w:val="Heading1"/>
        <w:pageBreakBefore/>
        <w:spacing w:before="240" w:after="200"/>
      </w:pPr>
      <w:r>
        <w:rPr>
          <w:rFonts w:ascii="Arial" w:cs="Arial" w:eastAsia="Arial" w:hAnsi="Arial"/>
          <w:b/>
          <w:bCs/>
          <w:color w:val="1F4E79"/>
          <w:sz w:val="32"/>
          <w:szCs w:val="32"/>
        </w:rPr>
        <w:t xml:space="preserve">11. CI/CD &amp; Infrastructure as Code</w:t>
      </w:r>
    </w:p>
    <w:p>
      <w:pPr>
        <w:pStyle w:val="Heading2"/>
        <w:spacing w:before="200" w:after="120"/>
      </w:pPr>
      <w:r>
        <w:rPr>
          <w:rFonts w:ascii="Arial" w:cs="Arial" w:eastAsia="Arial" w:hAnsi="Arial"/>
          <w:b/>
          <w:bCs/>
          <w:color w:val="2E75B6"/>
          <w:sz w:val="26"/>
          <w:szCs w:val="26"/>
        </w:rPr>
        <w:t xml:space="preserve">11.1 CI/CD Pipeline</w:t>
      </w:r>
    </w:p>
    <w:p>
      <w:pPr>
        <w:pStyle w:val="ListParagraph"/>
        <w:numPr>
          <w:ilvl w:val="0"/>
          <w:numId w:val="2"/>
        </w:numPr>
        <w:spacing w:before="60" w:after="60"/>
      </w:pPr>
      <w:r>
        <w:rPr>
          <w:rFonts w:ascii="Arial" w:cs="Arial" w:eastAsia="Arial" w:hAnsi="Arial"/>
          <w:color w:val="1A1A1A"/>
          <w:sz w:val="22"/>
          <w:szCs w:val="22"/>
        </w:rPr>
        <w:t xml:space="preserve">Cloud Build: All CI/CD pipelines defined in cloudbuild.yaml per repository. Triggers on PR merge to develop and main branches.</w:t>
      </w:r>
    </w:p>
    <w:p>
      <w:pPr>
        <w:pStyle w:val="ListParagraph"/>
        <w:numPr>
          <w:ilvl w:val="0"/>
          <w:numId w:val="2"/>
        </w:numPr>
        <w:spacing w:before="60" w:after="60"/>
      </w:pPr>
      <w:r>
        <w:rPr>
          <w:rFonts w:ascii="Arial" w:cs="Arial" w:eastAsia="Arial" w:hAnsi="Arial"/>
          <w:color w:val="1A1A1A"/>
          <w:sz w:val="22"/>
          <w:szCs w:val="22"/>
        </w:rPr>
        <w:t xml:space="preserve">Artifact Registry: Docker images for Cloud Run services and Dataflow custom templates; Python packages for shared JHBI data libraries</w:t>
      </w:r>
    </w:p>
    <w:p>
      <w:pPr>
        <w:pStyle w:val="ListParagraph"/>
        <w:numPr>
          <w:ilvl w:val="0"/>
          <w:numId w:val="2"/>
        </w:numPr>
        <w:spacing w:before="60" w:after="60"/>
      </w:pPr>
      <w:r>
        <w:rPr>
          <w:rFonts w:ascii="Arial" w:cs="Arial" w:eastAsia="Arial" w:hAnsi="Arial"/>
          <w:color w:val="1A1A1A"/>
          <w:sz w:val="22"/>
          <w:szCs w:val="22"/>
        </w:rPr>
        <w:t xml:space="preserve">Terraform: All GCP infrastructure defined as Terraform modules in jhbi-infra repository. State stored in GCS bucket in jhbi-devops-prod. Separate state files per project per environment.</w:t>
      </w:r>
    </w:p>
    <w:p>
      <w:pPr>
        <w:pStyle w:val="ListParagraph"/>
        <w:numPr>
          <w:ilvl w:val="0"/>
          <w:numId w:val="2"/>
        </w:numPr>
        <w:spacing w:before="60" w:after="60"/>
      </w:pPr>
      <w:r>
        <w:rPr>
          <w:rFonts w:ascii="Arial" w:cs="Arial" w:eastAsia="Arial" w:hAnsi="Arial"/>
          <w:color w:val="1A1A1A"/>
          <w:sz w:val="22"/>
          <w:szCs w:val="22"/>
        </w:rPr>
        <w:t xml:space="preserve">Dataform: SQL transformations versioned in Git; Dataform CLI executes compilations and runs in CI pipeline with dry-run assertions before production deployment</w:t>
      </w:r>
    </w:p>
    <w:p>
      <w:pPr>
        <w:pStyle w:val="ListParagraph"/>
        <w:numPr>
          <w:ilvl w:val="0"/>
          <w:numId w:val="2"/>
        </w:numPr>
        <w:spacing w:before="60" w:after="60"/>
      </w:pPr>
      <w:r>
        <w:rPr>
          <w:rFonts w:ascii="Arial" w:cs="Arial" w:eastAsia="Arial" w:hAnsi="Arial"/>
          <w:color w:val="1A1A1A"/>
          <w:sz w:val="22"/>
          <w:szCs w:val="22"/>
        </w:rPr>
        <w:t xml:space="preserve">GitHub / Cloud Source Repositories: Git Flow branching — feature branches → develop (staging deploy) → main (production deploy via manual approval gate)</w:t>
      </w:r>
    </w:p>
    <w:p>
      <w:pPr>
        <w:spacing w:before="60" w:after="60"/>
      </w:pPr>
      <w:r>
        <w:t xml:space="preserve"/>
      </w:r>
    </w:p>
    <w:p>
      <w:pPr>
        <w:pStyle w:val="Heading2"/>
        <w:spacing w:before="200" w:after="120"/>
      </w:pPr>
      <w:r>
        <w:rPr>
          <w:rFonts w:ascii="Arial" w:cs="Arial" w:eastAsia="Arial" w:hAnsi="Arial"/>
          <w:b/>
          <w:bCs/>
          <w:color w:val="2E75B6"/>
          <w:sz w:val="26"/>
          <w:szCs w:val="26"/>
        </w:rPr>
        <w:t xml:space="preserve">11.2 Environment Promotion</w:t>
      </w:r>
    </w:p>
    <w:p>
      <w:pPr>
        <w:pStyle w:val="ListParagraph"/>
        <w:numPr>
          <w:ilvl w:val="0"/>
          <w:numId w:val="2"/>
        </w:numPr>
        <w:spacing w:before="60" w:after="60"/>
      </w:pPr>
      <w:r>
        <w:rPr>
          <w:rFonts w:ascii="Arial" w:cs="Arial" w:eastAsia="Arial" w:hAnsi="Arial"/>
          <w:color w:val="1A1A1A"/>
          <w:sz w:val="22"/>
          <w:szCs w:val="22"/>
        </w:rPr>
        <w:t xml:space="preserve">Dev: Automated deploy on merge to feature branch; uses TDM synthetic data only; Terraform plan auto-applied</w:t>
      </w:r>
    </w:p>
    <w:p>
      <w:pPr>
        <w:pStyle w:val="ListParagraph"/>
        <w:numPr>
          <w:ilvl w:val="0"/>
          <w:numId w:val="2"/>
        </w:numPr>
        <w:spacing w:before="60" w:after="60"/>
      </w:pPr>
      <w:r>
        <w:rPr>
          <w:rFonts w:ascii="Arial" w:cs="Arial" w:eastAsia="Arial" w:hAnsi="Arial"/>
          <w:color w:val="1A1A1A"/>
          <w:sz w:val="22"/>
          <w:szCs w:val="22"/>
        </w:rPr>
        <w:t xml:space="preserve">Staging: Automated deploy on merge to develop; full integration tests run against synthetic FI data; Dataform transformation dry-runs; API contract tests</w:t>
      </w:r>
    </w:p>
    <w:p>
      <w:pPr>
        <w:pStyle w:val="ListParagraph"/>
        <w:numPr>
          <w:ilvl w:val="0"/>
          <w:numId w:val="2"/>
        </w:numPr>
        <w:spacing w:before="60" w:after="60"/>
      </w:pPr>
      <w:r>
        <w:rPr>
          <w:rFonts w:ascii="Arial" w:cs="Arial" w:eastAsia="Arial" w:hAnsi="Arial"/>
          <w:color w:val="1A1A1A"/>
          <w:sz w:val="22"/>
          <w:szCs w:val="22"/>
        </w:rPr>
        <w:t xml:space="preserve">Production: Manual approval gate in Cloud Build; Terraform plan reviewed before apply; blue-green deployment for Cloud Run services; Dataform workflows run in dry-run mode first, then promoted</w:t>
      </w:r>
    </w:p>
    <w:p>
      <w:pPr>
        <w:spacing w:before="60" w:after="60"/>
      </w:pPr>
      <w:r>
        <w:t xml:space="preserve"/>
      </w:r>
    </w:p>
    <w:p>
      <w:pPr>
        <w:pStyle w:val="Heading2"/>
        <w:spacing w:before="200" w:after="120"/>
      </w:pPr>
      <w:r>
        <w:rPr>
          <w:rFonts w:ascii="Arial" w:cs="Arial" w:eastAsia="Arial" w:hAnsi="Arial"/>
          <w:b/>
          <w:bCs/>
          <w:color w:val="2E75B6"/>
          <w:sz w:val="26"/>
          <w:szCs w:val="26"/>
        </w:rPr>
        <w:t xml:space="preserve">11.3 Test Data Management</w:t>
      </w:r>
    </w:p>
    <w:p>
      <w:pPr>
        <w:pStyle w:val="ListParagraph"/>
        <w:numPr>
          <w:ilvl w:val="0"/>
          <w:numId w:val="2"/>
        </w:numPr>
        <w:spacing w:before="60" w:after="60"/>
      </w:pPr>
      <w:r>
        <w:rPr>
          <w:rFonts w:ascii="Arial" w:cs="Arial" w:eastAsia="Arial" w:hAnsi="Arial"/>
          <w:color w:val="1A1A1A"/>
          <w:sz w:val="22"/>
          <w:szCs w:val="22"/>
        </w:rPr>
        <w:t xml:space="preserve">Synthetic data generated per FI schema using a TDM tool (e.g., Faker-based Python generator or Tonic.ai) — never uses real FI data in dev/staging</w:t>
      </w:r>
    </w:p>
    <w:p>
      <w:pPr>
        <w:pStyle w:val="ListParagraph"/>
        <w:numPr>
          <w:ilvl w:val="0"/>
          <w:numId w:val="2"/>
        </w:numPr>
        <w:spacing w:before="60" w:after="60"/>
      </w:pPr>
      <w:r>
        <w:rPr>
          <w:rFonts w:ascii="Arial" w:cs="Arial" w:eastAsia="Arial" w:hAnsi="Arial"/>
          <w:color w:val="1A1A1A"/>
          <w:sz w:val="22"/>
          <w:szCs w:val="22"/>
        </w:rPr>
        <w:t xml:space="preserve">Synthetic data covers all payment rail types, entity resolution edge cases (duplicates, merges, splits), and PCI/PII field patterns for DLP testing</w:t>
      </w:r>
    </w:p>
    <w:p>
      <w:pPr>
        <w:pStyle w:val="ListParagraph"/>
        <w:numPr>
          <w:ilvl w:val="0"/>
          <w:numId w:val="2"/>
        </w:numPr>
        <w:spacing w:before="60" w:after="60"/>
      </w:pPr>
      <w:r>
        <w:rPr>
          <w:rFonts w:ascii="Arial" w:cs="Arial" w:eastAsia="Arial" w:hAnsi="Arial"/>
          <w:color w:val="1A1A1A"/>
          <w:sz w:val="22"/>
          <w:szCs w:val="22"/>
        </w:rPr>
        <w:t xml:space="preserve">Data contracts (JSON Schema / Avro schemas) version-controlled alongside Dataform code; schema compatibility checks run in CI</w:t>
      </w:r>
    </w:p>
    <w:p>
      <w:pPr>
        <w:spacing w:before="60" w:after="60"/>
      </w:pPr>
      <w:r>
        <w:t xml:space="preserve"/>
      </w:r>
    </w:p>
    <w:p>
      <w:pPr>
        <w:pStyle w:val="Heading1"/>
        <w:pageBreakBefore/>
        <w:spacing w:before="240" w:after="200"/>
      </w:pPr>
      <w:r>
        <w:rPr>
          <w:rFonts w:ascii="Arial" w:cs="Arial" w:eastAsia="Arial" w:hAnsi="Arial"/>
          <w:b/>
          <w:bCs/>
          <w:color w:val="1F4E79"/>
          <w:sz w:val="32"/>
          <w:szCs w:val="32"/>
        </w:rPr>
        <w:t xml:space="preserve">12. GCP Services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GCP Service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JHBI Component</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 in Architecture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GCP Datastream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CDC Ingestion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Serverless CDC from source databases; zero-ops logical replication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 Pub/Sub</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Event Bus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Durable message bus between CDC and processing; per-source topics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 Dataflow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PCI Tokenization &amp; Transform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Apache Beam streaming jobs; DLP integration; write to BigQuery Bronze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 DLP</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PCI Tokenization &amp; Governance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InfoType detection; FPE tokenization; periodic re-scan of Bronze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 KMS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Encryption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CMEK for all data stores; FPE key management; automatic key rotation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BigQuery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Data Lake (all layers)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Serverless analytics database; Bronze/Silver/Gold datasets; BI Engine; RLS; authorized views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 Spanner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Entity MDM + Token Vault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Global consistency for entity master records; sub-10ms API lookup latency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Dataform</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ELT Transformations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SQL-based Bronze → Silver → Gold transformations; version-controlled SQLX; lineage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 Composer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Orchestration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Apache Airflow DAGs for pipeline orchestration; SLA monitoring; cross-DAG dependencies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Dataplex</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Governance &amp; Catalog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Data catalog, quality scans, lineage tracking, tag management, zone/lake organization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API Gateway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Data Services (External)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Managed API front-door; JWT validation; rate limiting; SSL termination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 Run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Data Services + Portal Backend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Containerized microservices; auto-scale to zero; Workload Identity; zero server management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Firebase Hosting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Portal Frontend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CDN hosting for React SPA; Firebase Auth integration; global distribution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Firebase Authentication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Portal Auth (External)</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OIDC federation with Cloud Identity; session management for portal users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 Identity / IAM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Identity &amp; Access Control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FI user identity management; Google Groups for JHBI internal roles; Workload Identity Federation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VPC Service Controls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Network Perimeter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Service perimeter around all jhbi-* projects; prevents data exfiltration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 Armor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API Protection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WAF on API Gateway; DDoS mitigation; IP allowlisting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 IAP</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Portal Access Control</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Identity-Aware Proxy on Cloud Run portal service; no VPN required for FI users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Secret Manager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Secrets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Connection strings, API keys, service account credentials; accessed via Workload Identity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Vertex AI Search + Conversation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AI-Query Tool (Portal)</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Natural language to BigQuery SQL; schema context injection; fi_id-enforced query execution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Analytics Hub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Internal Data Sharing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Internal dataset marketplace for authorized JH teams; cross-project Gold dataset sharing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 Monitoring + Logging</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Observability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Pipeline metrics, SLA dashboards, audit log sink to BigQuery, PagerDuty alerting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 Build + Artifact Registry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CI/CD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Automated build, test, and deploy pipelines; Docker image registry; IaC with Terraform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 Composer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Workflow Orchestration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Managed Apache Airflow; pipeline DAGs, SLA enforcement, retry logic</w:t>
            </w:r>
          </w:p>
        </w:tc>
      </w:tr>
    </w:tbl>
    <w:p>
      <w:pPr>
        <w:spacing w:before="60" w:after="60"/>
      </w:pPr>
      <w:r>
        <w:t xml:space="preserve"/>
      </w:r>
    </w:p>
    <w:p>
      <w:pPr>
        <w:pStyle w:val="Heading1"/>
        <w:pageBreakBefore/>
        <w:spacing w:before="240" w:after="200"/>
      </w:pPr>
      <w:r>
        <w:rPr>
          <w:rFonts w:ascii="Arial" w:cs="Arial" w:eastAsia="Arial" w:hAnsi="Arial"/>
          <w:b/>
          <w:bCs/>
          <w:color w:val="1F4E79"/>
          <w:sz w:val="32"/>
          <w:szCs w:val="32"/>
        </w:rPr>
        <w:t xml:space="preserve">13. US Regulatory Compliance &amp; Data Handling</w:t>
      </w:r>
    </w:p>
    <w:p>
      <w:pPr>
        <w:spacing w:before="80" w:after="80"/>
      </w:pPr>
      <w:r>
        <w:rPr>
          <w:rFonts w:ascii="Arial" w:cs="Arial" w:eastAsia="Arial" w:hAnsi="Arial"/>
          <w:color w:val="1A1A1A"/>
          <w:sz w:val="22"/>
          <w:szCs w:val="22"/>
        </w:rPr>
        <w:t xml:space="preserve">JHBI operates in a highly regulated environment, handling financial transaction data for approximately 9,000 US financial institutions. The GCP architecture is designed to satisfy the following US regulatory frameworks. This section maps each regulation to specific architectural controls, isolation mechanisms, logging requirements, and GCP services.</w:t>
      </w:r>
    </w:p>
    <w:p>
      <w:pPr>
        <w:spacing w:before="60" w:after="60"/>
      </w:pPr>
      <w:r>
        <w:t xml:space="preserve"/>
      </w:r>
    </w:p>
    <w:p>
      <w:pPr>
        <w:pStyle w:val="Heading2"/>
        <w:spacing w:before="200" w:after="120"/>
      </w:pPr>
      <w:r>
        <w:rPr>
          <w:rFonts w:ascii="Arial" w:cs="Arial" w:eastAsia="Arial" w:hAnsi="Arial"/>
          <w:b/>
          <w:bCs/>
          <w:color w:val="2E75B6"/>
          <w:sz w:val="26"/>
          <w:szCs w:val="26"/>
        </w:rPr>
        <w:t xml:space="preserve">13.1 PCI DSS (Payment Card Industry Data Security Standard)</w:t>
      </w:r>
    </w:p>
    <w:p>
      <w:pPr>
        <w:spacing w:before="80" w:after="80"/>
      </w:pPr>
      <w:r>
        <w:rPr>
          <w:rFonts w:ascii="Arial" w:cs="Arial" w:eastAsia="Arial" w:hAnsi="Arial"/>
          <w:color w:val="1A1A1A"/>
          <w:sz w:val="22"/>
          <w:szCs w:val="22"/>
        </w:rPr>
        <w:t xml:space="preserve">PCI DSS v4.0 applies because JHBI ingests data from systems that process cardholder data (card-funded bill pay via iPay CardPay, EPS card gateway, CPS card processing). The architecture's tokenization strategy is designed to keep BigQuery and all downstream components OUT of PCI scope.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PCI DSS Requirement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JHBI Control</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GCP 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Req 3: Protect stored account data (PAN, SAD)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FPE tokenization at Dataflow stage; PANs never land in BigQuery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 DLP (FPE-AES transform) + Cloud KMS (key rings per data class)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Req 4: Protect cardholder data in transit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TLS 1.3 on all service-to-service and external connections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API Gateway managed certs; GCP internal encryption in transit; no plaintext channels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Req 6: Develop secure systems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CI/CD pipeline with SAST scanning; dependency vulnerability checks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 Build with Cloud Security Scanner; Artifact Registry vulnerability scanning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Req 7: Restrict access by business need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IAM least-privilege; no individual bindings in prod; Workload Identity for services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Google Groups + custom IAM roles; Cloud IAP; VPC Service Controls perimeter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Req 10: Log and monitor all access to system components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 Audit Logs on all data stores; Data Access logs on BigQuery/Spanner; export to immutable SIEM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 Audit Logs → Cloud Logging → BigQuery sink (jhbi_audit_logs, 7yr retention, retention lock)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Req 12: Support information security with policies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Organization-level GCP policies enforcing CMEK, private IPs, regional data residency</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Organization Policy Constraints; Security Command Center Premium compliance dashboard</w:t>
            </w:r>
          </w:p>
        </w:tc>
      </w:tr>
    </w:tbl>
    <w:p>
      <w:pPr>
        <w:spacing w:before="60" w:after="60"/>
      </w:pPr>
      <w:r>
        <w:t xml:space="preserve"/>
      </w:r>
    </w:p>
    <w:p>
      <w:pPr>
        <w:spacing w:before="60" w:after="60"/>
        <w:ind w:left="720"/>
      </w:pPr>
      <w:r>
        <w:rPr>
          <w:rFonts w:ascii="Arial" w:cs="Arial" w:eastAsia="Arial" w:hAnsi="Arial"/>
          <w:b/>
          <w:bCs/>
          <w:i/>
          <w:iCs/>
          <w:color w:val="595959"/>
          <w:sz w:val="20"/>
          <w:szCs w:val="20"/>
        </w:rPr>
        <w:t xml:space="preserve">Note: </w:t>
      </w:r>
      <w:r>
        <w:rPr>
          <w:rFonts w:ascii="Arial" w:cs="Arial" w:eastAsia="Arial" w:hAnsi="Arial"/>
          <w:i/>
          <w:iCs/>
          <w:color w:val="595959"/>
          <w:sz w:val="20"/>
          <w:szCs w:val="20"/>
        </w:rPr>
        <w:t xml:space="preserve">The primary PCI risk in JHBI is at the CDC ingestion stage. The Dataflow tokenization job is the CDE (Cardholder Data Environment) boundary. All GCP services downstream of that job (BigQuery, Spanner, Cloud Run, Portal) are out of PCI scope because they only handle tokenized values.</w:t>
      </w:r>
    </w:p>
    <w:p>
      <w:pPr>
        <w:spacing w:before="60" w:after="60"/>
      </w:pPr>
      <w:r>
        <w:t xml:space="preserve"/>
      </w:r>
    </w:p>
    <w:p>
      <w:pPr>
        <w:pStyle w:val="Heading2"/>
        <w:spacing w:before="200" w:after="120"/>
      </w:pPr>
      <w:r>
        <w:rPr>
          <w:rFonts w:ascii="Arial" w:cs="Arial" w:eastAsia="Arial" w:hAnsi="Arial"/>
          <w:b/>
          <w:bCs/>
          <w:color w:val="2E75B6"/>
          <w:sz w:val="26"/>
          <w:szCs w:val="26"/>
        </w:rPr>
        <w:t xml:space="preserve">13.2 Gramm-Leach-Bliley Act (GLBA) — Non-Public Personal Information (NPI)</w:t>
      </w:r>
    </w:p>
    <w:p>
      <w:pPr>
        <w:spacing w:before="80" w:after="80"/>
      </w:pPr>
      <w:r>
        <w:rPr>
          <w:rFonts w:ascii="Arial" w:cs="Arial" w:eastAsia="Arial" w:hAnsi="Arial"/>
          <w:color w:val="1A1A1A"/>
          <w:sz w:val="22"/>
          <w:szCs w:val="22"/>
        </w:rPr>
        <w:t xml:space="preserve">GLBA mandates that Jack Henry, as a service provider to financial institutions, implements appropriate safeguards to protect consumers' Non-Public Personal Information (NPI). The FTC Safeguards Rule (updated 2023) applies directly to JHBI's DaaS platform.</w:t>
      </w:r>
    </w:p>
    <w:p>
      <w:pPr>
        <w:spacing w:before="60" w:after="60"/>
      </w:pPr>
      <w:r>
        <w:t xml:space="preserve"/>
      </w:r>
    </w:p>
    <w:p>
      <w:pPr>
        <w:pStyle w:val="ListParagraph"/>
        <w:numPr>
          <w:ilvl w:val="0"/>
          <w:numId w:val="2"/>
        </w:numPr>
        <w:spacing w:before="60" w:after="60"/>
      </w:pPr>
      <w:r>
        <w:rPr>
          <w:rFonts w:ascii="Arial" w:cs="Arial" w:eastAsia="Arial" w:hAnsi="Arial"/>
          <w:color w:val="1A1A1A"/>
          <w:sz w:val="22"/>
          <w:szCs w:val="22"/>
        </w:rPr>
        <w:t xml:space="preserve">Data Minimization: JHBI does not ingest unnecessary PII. Only fields required for payment analytics and entity resolution are extracted from source systems. Cloud DLP scans enforce that high-sensitivity fields not in the approved schema are flagged or suppressed.</w:t>
      </w:r>
    </w:p>
    <w:p>
      <w:pPr>
        <w:pStyle w:val="ListParagraph"/>
        <w:numPr>
          <w:ilvl w:val="0"/>
          <w:numId w:val="2"/>
        </w:numPr>
        <w:spacing w:before="60" w:after="60"/>
      </w:pPr>
      <w:r>
        <w:rPr>
          <w:rFonts w:ascii="Arial" w:cs="Arial" w:eastAsia="Arial" w:hAnsi="Arial"/>
          <w:color w:val="1A1A1A"/>
          <w:sz w:val="22"/>
          <w:szCs w:val="22"/>
        </w:rPr>
        <w:t xml:space="preserve">Access Control: NPI access is restricted to authorized JH personnel (jhbi-compliance@jh.com, jhbi-data-scientists@jh.com) via Google Groups IAM bindings. FI external users only access their own FI's NPI through API endpoints that return masked or tokenized values (last 4 digits, masked name fields).</w:t>
      </w:r>
    </w:p>
    <w:p>
      <w:pPr>
        <w:pStyle w:val="ListParagraph"/>
        <w:numPr>
          <w:ilvl w:val="0"/>
          <w:numId w:val="2"/>
        </w:numPr>
        <w:spacing w:before="60" w:after="60"/>
      </w:pPr>
      <w:r>
        <w:rPr>
          <w:rFonts w:ascii="Arial" w:cs="Arial" w:eastAsia="Arial" w:hAnsi="Arial"/>
          <w:color w:val="1A1A1A"/>
          <w:sz w:val="22"/>
          <w:szCs w:val="22"/>
        </w:rPr>
        <w:t xml:space="preserve">Encryption: All NPI fields in BigQuery Silver/Gold layers encrypted at rest via CMEK (Cloud KMS). NPI in Cloud Spanner CustomerMDM table encrypted with separate key ring (pii-key-ring in jhbi-security-prod).</w:t>
      </w:r>
    </w:p>
    <w:p>
      <w:pPr>
        <w:pStyle w:val="ListParagraph"/>
        <w:numPr>
          <w:ilvl w:val="0"/>
          <w:numId w:val="2"/>
        </w:numPr>
        <w:spacing w:before="60" w:after="60"/>
      </w:pPr>
      <w:r>
        <w:rPr>
          <w:rFonts w:ascii="Arial" w:cs="Arial" w:eastAsia="Arial" w:hAnsi="Arial"/>
          <w:color w:val="1A1A1A"/>
          <w:sz w:val="22"/>
          <w:szCs w:val="22"/>
        </w:rPr>
        <w:t xml:space="preserve">Audit Trail: Every read of NPI fields in BigQuery generates a Data Access audit log entry capturing user identity, fi_id, table name, column names queried, and timestamp — exported to the jhbi_audit_logs BigQuery dataset.</w:t>
      </w:r>
    </w:p>
    <w:p>
      <w:pPr>
        <w:pStyle w:val="ListParagraph"/>
        <w:numPr>
          <w:ilvl w:val="0"/>
          <w:numId w:val="2"/>
        </w:numPr>
        <w:spacing w:before="60" w:after="60"/>
      </w:pPr>
      <w:r>
        <w:rPr>
          <w:rFonts w:ascii="Arial" w:cs="Arial" w:eastAsia="Arial" w:hAnsi="Arial"/>
          <w:color w:val="1A1A1A"/>
          <w:sz w:val="22"/>
          <w:szCs w:val="22"/>
        </w:rPr>
        <w:t xml:space="preserve">Incident Response: Security Command Center Premium provides real-time alerting on anomalous NPI access patterns (e.g., bulk exports of customer records, access outside business hours). Alerts route to JHBI security operations via Cloud Monitoring + PagerDuty.</w:t>
      </w:r>
    </w:p>
    <w:p>
      <w:pPr>
        <w:pStyle w:val="ListParagraph"/>
        <w:numPr>
          <w:ilvl w:val="0"/>
          <w:numId w:val="2"/>
        </w:numPr>
        <w:spacing w:before="60" w:after="60"/>
      </w:pPr>
      <w:r>
        <w:rPr>
          <w:rFonts w:ascii="Arial" w:cs="Arial" w:eastAsia="Arial" w:hAnsi="Arial"/>
          <w:color w:val="1A1A1A"/>
          <w:sz w:val="22"/>
          <w:szCs w:val="22"/>
        </w:rPr>
        <w:t xml:space="preserve">Vendor Contracts: As a fintech service provider, Jack Henry must maintain appropriate data processing agreements (DPAs) with each FI client establishing Jack Henry's role as a service provider under GLBA. This is a legal/compliance process item, not purely architectural.</w:t>
      </w:r>
    </w:p>
    <w:p>
      <w:pPr>
        <w:spacing w:before="60" w:after="60"/>
      </w:pPr>
      <w:r>
        <w:t xml:space="preserve"/>
      </w:r>
    </w:p>
    <w:p>
      <w:pPr>
        <w:pStyle w:val="Heading2"/>
        <w:spacing w:before="200" w:after="120"/>
      </w:pPr>
      <w:r>
        <w:rPr>
          <w:rFonts w:ascii="Arial" w:cs="Arial" w:eastAsia="Arial" w:hAnsi="Arial"/>
          <w:b/>
          <w:bCs/>
          <w:color w:val="2E75B6"/>
          <w:sz w:val="26"/>
          <w:szCs w:val="26"/>
        </w:rPr>
        <w:t xml:space="preserve">13.3 SOC 2 Type II</w:t>
      </w:r>
    </w:p>
    <w:p>
      <w:pPr>
        <w:spacing w:before="80" w:after="80"/>
      </w:pPr>
      <w:r>
        <w:rPr>
          <w:rFonts w:ascii="Arial" w:cs="Arial" w:eastAsia="Arial" w:hAnsi="Arial"/>
          <w:color w:val="1A1A1A"/>
          <w:sz w:val="22"/>
          <w:szCs w:val="22"/>
        </w:rPr>
        <w:t xml:space="preserve">JHBI's platform design supports a SOC 2 Type II audit against the five Trust Services Criteria (TSC): Security, Availability, Processing Integrity, Confidentiality, and Privacy. The following architectural controls directly satisfy SOC 2 requirements: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TSC Category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SOC 2 Control Area</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JHBI GCP Control Implementation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Security (CC6)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Logical &amp; Physical Access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IAM least-privilege via Google Groups; VPC Service Controls perimeter; Cloud IAP on portal; API Gateway JWT validation; MFA enforced on all Google Workspace accounts (jhbi@jh.com domain)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Security (CC7)</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System Operations &amp; Anomaly Detection</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Security Command Center Premium; Cloud Monitoring alerting on anomalous BigQuery query volumes; DLP scan findings alert; Secret Manager access alerts; audit log anomaly detection via Log-based metrics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Availability (A1)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Capacity &amp; Uptime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 Run auto-scaling (min 2 instances in prod); BigQuery serverless (no capacity planning); Cloud Spanner 99.999% SLA (multi-region); API Gateway 99.95% SLA; Cloud Composer Autopilot managed infrastructure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Processing Integrity (PI1)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Complete, accurate, timely processing</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Dataplex Data Quality scans with 95%+ score requirements; Dataform assertions (unit tests on transformations); Airflow SLA miss alerts; dead-letter queues for unprocessable CDC events; DQ scorecard surfaced in Portal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Confidentiality (C1)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Confidential information protection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CMEK on all data stores; Column-Level Access Policies on BigQuery; PCI tokenization; VPC Service Controls preventing data egress; DLP inspection and masking; FI tenant isolation (per-dataset IAM)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Privacy (P1-P8)</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Personal information lifecycle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Dataplex PII tags on customer data columns; BigQuery column-level masking policies; data retention/expiration policies per layer; Cloud Audit Logs for all NPI access; DLP periodic scans for untagged PII discovery</w:t>
            </w:r>
          </w:p>
        </w:tc>
      </w:tr>
    </w:tbl>
    <w:p>
      <w:pPr>
        <w:spacing w:before="60" w:after="60"/>
      </w:pPr>
      <w:r>
        <w:t xml:space="preserve"/>
      </w:r>
    </w:p>
    <w:p>
      <w:pPr>
        <w:spacing w:before="60" w:after="60"/>
        <w:ind w:left="720"/>
      </w:pPr>
      <w:r>
        <w:rPr>
          <w:rFonts w:ascii="Arial" w:cs="Arial" w:eastAsia="Arial" w:hAnsi="Arial"/>
          <w:b/>
          <w:bCs/>
          <w:i/>
          <w:iCs/>
          <w:color w:val="595959"/>
          <w:sz w:val="20"/>
          <w:szCs w:val="20"/>
        </w:rPr>
        <w:t xml:space="preserve">Note: </w:t>
      </w:r>
      <w:r>
        <w:rPr>
          <w:rFonts w:ascii="Arial" w:cs="Arial" w:eastAsia="Arial" w:hAnsi="Arial"/>
          <w:i/>
          <w:iCs/>
          <w:color w:val="595959"/>
          <w:sz w:val="20"/>
          <w:szCs w:val="20"/>
        </w:rPr>
        <w:t xml:space="preserve">Evidence for SOC 2 Type II audit is collected continuously via Cloud Audit Logs, Security Command Center findings, and Dataplex DQ reports — all exported to the jhbi_audit_logs BigQuery dataset. This enables automated evidence collection for auditors.</w:t>
      </w:r>
    </w:p>
    <w:p>
      <w:pPr>
        <w:spacing w:before="60" w:after="60"/>
      </w:pPr>
      <w:r>
        <w:t xml:space="preserve"/>
      </w:r>
    </w:p>
    <w:p>
      <w:pPr>
        <w:pStyle w:val="Heading2"/>
        <w:spacing w:before="200" w:after="120"/>
      </w:pPr>
      <w:r>
        <w:rPr>
          <w:rFonts w:ascii="Arial" w:cs="Arial" w:eastAsia="Arial" w:hAnsi="Arial"/>
          <w:b/>
          <w:bCs/>
          <w:color w:val="2E75B6"/>
          <w:sz w:val="26"/>
          <w:szCs w:val="26"/>
        </w:rPr>
        <w:t xml:space="preserve">13.4 NACHA Operating Rules (ACH Network)</w:t>
      </w:r>
    </w:p>
    <w:p>
      <w:pPr>
        <w:spacing w:before="80" w:after="80"/>
      </w:pPr>
      <w:r>
        <w:rPr>
          <w:rFonts w:ascii="Arial" w:cs="Arial" w:eastAsia="Arial" w:hAnsi="Arial"/>
          <w:color w:val="1A1A1A"/>
          <w:sz w:val="22"/>
          <w:szCs w:val="22"/>
        </w:rPr>
        <w:t xml:space="preserve">JHBI ingests ACH transaction data from EPS ACH (direct deposits, bill pay, P2P). NACHA's Operating Rules impose obligations on Jack Henry as a Third-Party Sender (TPS) and service provider to Originating Depository Financial Institutions (ODFIs):</w:t>
      </w:r>
    </w:p>
    <w:p>
      <w:pPr>
        <w:spacing w:before="60" w:after="60"/>
      </w:pPr>
      <w:r>
        <w:t xml:space="preserve"/>
      </w:r>
    </w:p>
    <w:p>
      <w:pPr>
        <w:pStyle w:val="ListParagraph"/>
        <w:numPr>
          <w:ilvl w:val="0"/>
          <w:numId w:val="2"/>
        </w:numPr>
        <w:spacing w:before="60" w:after="60"/>
      </w:pPr>
      <w:r>
        <w:rPr>
          <w:rFonts w:ascii="Arial" w:cs="Arial" w:eastAsia="Arial" w:hAnsi="Arial"/>
          <w:color w:val="1A1A1A"/>
          <w:sz w:val="22"/>
          <w:szCs w:val="22"/>
        </w:rPr>
        <w:t xml:space="preserve">Data Handling: ACH transaction data (including SEC codes — PPD, CCD, CTX, WEB, TEL) must be handled with appropriate security controls. JHBI's tokenization of RDFI account numbers and routing numbers at the Dataflow stage satisfies this requirement.</w:t>
      </w:r>
    </w:p>
    <w:p>
      <w:pPr>
        <w:pStyle w:val="ListParagraph"/>
        <w:numPr>
          <w:ilvl w:val="0"/>
          <w:numId w:val="2"/>
        </w:numPr>
        <w:spacing w:before="60" w:after="60"/>
      </w:pPr>
      <w:r>
        <w:rPr>
          <w:rFonts w:ascii="Arial" w:cs="Arial" w:eastAsia="Arial" w:hAnsi="Arial"/>
          <w:color w:val="1A1A1A"/>
          <w:sz w:val="22"/>
          <w:szCs w:val="22"/>
        </w:rPr>
        <w:t xml:space="preserve">Audit Trail: ACH return codes, NOC (Notification of Change) codes, and transaction lifecycle events must be retained. JHBI Bronze layer retains raw CDC records with all original ACH fields (tokenized) for 7 years — satisfying NACHA's 6-year retention requirement.</w:t>
      </w:r>
    </w:p>
    <w:p>
      <w:pPr>
        <w:pStyle w:val="ListParagraph"/>
        <w:numPr>
          <w:ilvl w:val="0"/>
          <w:numId w:val="2"/>
        </w:numPr>
        <w:spacing w:before="60" w:after="60"/>
      </w:pPr>
      <w:r>
        <w:rPr>
          <w:rFonts w:ascii="Arial" w:cs="Arial" w:eastAsia="Arial" w:hAnsi="Arial"/>
          <w:color w:val="1A1A1A"/>
          <w:sz w:val="22"/>
          <w:szCs w:val="22"/>
        </w:rPr>
        <w:t xml:space="preserve">Access Controls: ACH data access restricted to authorized users. BigQuery Column-Level Access Policies on routing number and account number fields ensure only DLP-authorized service accounts can read tokenized ACH counterparty data.</w:t>
      </w:r>
    </w:p>
    <w:p>
      <w:pPr>
        <w:pStyle w:val="ListParagraph"/>
        <w:numPr>
          <w:ilvl w:val="0"/>
          <w:numId w:val="2"/>
        </w:numPr>
        <w:spacing w:before="60" w:after="60"/>
      </w:pPr>
      <w:r>
        <w:rPr>
          <w:rFonts w:ascii="Arial" w:cs="Arial" w:eastAsia="Arial" w:hAnsi="Arial"/>
          <w:color w:val="1A1A1A"/>
          <w:sz w:val="22"/>
          <w:szCs w:val="22"/>
        </w:rPr>
        <w:t xml:space="preserve">Unauthorized Transaction Monitoring: Gold layer aggregate views support FI ACH operations dashboards. Anomalous return rate monitoring (Req: &lt; 0.5% unauthorized return rate for debit entries) is surfaced via the Operations Dashboard (Power BI component).</w:t>
      </w:r>
    </w:p>
    <w:p>
      <w:pPr>
        <w:spacing w:before="60" w:after="60"/>
      </w:pPr>
      <w:r>
        <w:t xml:space="preserve"/>
      </w:r>
    </w:p>
    <w:p>
      <w:pPr>
        <w:pStyle w:val="Heading2"/>
        <w:spacing w:before="200" w:after="120"/>
      </w:pPr>
      <w:r>
        <w:rPr>
          <w:rFonts w:ascii="Arial" w:cs="Arial" w:eastAsia="Arial" w:hAnsi="Arial"/>
          <w:b/>
          <w:bCs/>
          <w:color w:val="2E75B6"/>
          <w:sz w:val="26"/>
          <w:szCs w:val="26"/>
        </w:rPr>
        <w:t xml:space="preserve">13.5 FFIEC Guidance (Federal Financial Institutions Examination Council)</w:t>
      </w:r>
    </w:p>
    <w:p>
      <w:pPr>
        <w:spacing w:before="80" w:after="80"/>
      </w:pPr>
      <w:r>
        <w:rPr>
          <w:rFonts w:ascii="Arial" w:cs="Arial" w:eastAsia="Arial" w:hAnsi="Arial"/>
          <w:color w:val="1A1A1A"/>
          <w:sz w:val="22"/>
          <w:szCs w:val="22"/>
        </w:rPr>
        <w:t xml:space="preserve">FFIEC guidance on IT examination and cybersecurity applies to Jack Henry as a technology service provider to regulated financial institutions. Key requirements addressed by the JHBI architecture:</w:t>
      </w:r>
    </w:p>
    <w:p>
      <w:pPr>
        <w:spacing w:before="60" w:after="60"/>
      </w:pPr>
      <w:r>
        <w:t xml:space="preserve"/>
      </w:r>
    </w:p>
    <w:p>
      <w:pPr>
        <w:pStyle w:val="ListParagraph"/>
        <w:numPr>
          <w:ilvl w:val="0"/>
          <w:numId w:val="2"/>
        </w:numPr>
        <w:spacing w:before="60" w:after="60"/>
      </w:pPr>
      <w:r>
        <w:rPr>
          <w:rFonts w:ascii="Arial" w:cs="Arial" w:eastAsia="Arial" w:hAnsi="Arial"/>
          <w:color w:val="1A1A1A"/>
          <w:sz w:val="22"/>
          <w:szCs w:val="22"/>
        </w:rPr>
        <w:t xml:space="preserve">IT Risk Management: Security Command Center Premium provides a continuous risk posture assessment. Organization Policy constraints enforce configuration compliance (no public IPs, required CMEK, approved regions). All policies are version-controlled in Terraform IaC.</w:t>
      </w:r>
    </w:p>
    <w:p>
      <w:pPr>
        <w:pStyle w:val="ListParagraph"/>
        <w:numPr>
          <w:ilvl w:val="0"/>
          <w:numId w:val="2"/>
        </w:numPr>
        <w:spacing w:before="60" w:after="60"/>
      </w:pPr>
      <w:r>
        <w:rPr>
          <w:rFonts w:ascii="Arial" w:cs="Arial" w:eastAsia="Arial" w:hAnsi="Arial"/>
          <w:color w:val="1A1A1A"/>
          <w:sz w:val="22"/>
          <w:szCs w:val="22"/>
        </w:rPr>
        <w:t xml:space="preserve">Business Continuity / DR: BigQuery's built-in multi-region replication (us datasets replicate across us-central1 and us-east4). Cloud Spanner multi-region configuration (nam4: us-central1 + us-east4) provides 99.999% availability and cross-region failover. Cloud Run services deployed in two regions behind a Global Load Balancer.</w:t>
      </w:r>
    </w:p>
    <w:p>
      <w:pPr>
        <w:pStyle w:val="ListParagraph"/>
        <w:numPr>
          <w:ilvl w:val="0"/>
          <w:numId w:val="2"/>
        </w:numPr>
        <w:spacing w:before="60" w:after="60"/>
      </w:pPr>
      <w:r>
        <w:rPr>
          <w:rFonts w:ascii="Arial" w:cs="Arial" w:eastAsia="Arial" w:hAnsi="Arial"/>
          <w:color w:val="1A1A1A"/>
          <w:sz w:val="22"/>
          <w:szCs w:val="22"/>
        </w:rPr>
        <w:t xml:space="preserve">Third-Party Risk Management: All GCP services used are FedRAMP-authorized (GCP FedRAMP High authorization). JHBI maintains a list of GCP services in scope and their FedRAMP status in the security runbook.</w:t>
      </w:r>
    </w:p>
    <w:p>
      <w:pPr>
        <w:pStyle w:val="ListParagraph"/>
        <w:numPr>
          <w:ilvl w:val="0"/>
          <w:numId w:val="2"/>
        </w:numPr>
        <w:spacing w:before="60" w:after="60"/>
      </w:pPr>
      <w:r>
        <w:rPr>
          <w:rFonts w:ascii="Arial" w:cs="Arial" w:eastAsia="Arial" w:hAnsi="Arial"/>
          <w:color w:val="1A1A1A"/>
          <w:sz w:val="22"/>
          <w:szCs w:val="22"/>
        </w:rPr>
        <w:t xml:space="preserve">Audit Log Retention: FFIEC requires that audit logs be retained for a minimum of one year, with 6 months readily accessible. JHBI retains Cloud Audit Logs in BigQuery for 7 years with a 90-day hot tier and archival via BigQuery long-term storage pricing.</w:t>
      </w:r>
    </w:p>
    <w:p>
      <w:pPr>
        <w:spacing w:before="60" w:after="60"/>
      </w:pPr>
      <w:r>
        <w:t xml:space="preserve"/>
      </w:r>
    </w:p>
    <w:p>
      <w:pPr>
        <w:pStyle w:val="Heading2"/>
        <w:spacing w:before="200" w:after="120"/>
      </w:pPr>
      <w:r>
        <w:rPr>
          <w:rFonts w:ascii="Arial" w:cs="Arial" w:eastAsia="Arial" w:hAnsi="Arial"/>
          <w:b/>
          <w:bCs/>
          <w:color w:val="2E75B6"/>
          <w:sz w:val="26"/>
          <w:szCs w:val="26"/>
        </w:rPr>
        <w:t xml:space="preserve">13.6 CCPA / State Privacy Laws</w:t>
      </w:r>
    </w:p>
    <w:p>
      <w:pPr>
        <w:spacing w:before="80" w:after="80"/>
      </w:pPr>
      <w:r>
        <w:rPr>
          <w:rFonts w:ascii="Arial" w:cs="Arial" w:eastAsia="Arial" w:hAnsi="Arial"/>
          <w:color w:val="1A1A1A"/>
          <w:sz w:val="22"/>
          <w:szCs w:val="22"/>
        </w:rPr>
        <w:t xml:space="preserve">While JHBI's primary clients are financial institutions (covered by GLBA exemptions to CCPA), the architecture implements privacy controls that satisfy state-level consumer privacy requirements (CCPA, CPRA, and analogous state laws) as defense-in-depth:</w:t>
      </w:r>
    </w:p>
    <w:p>
      <w:pPr>
        <w:spacing w:before="60" w:after="60"/>
      </w:pPr>
      <w:r>
        <w:t xml:space="preserve"/>
      </w:r>
    </w:p>
    <w:p>
      <w:pPr>
        <w:pStyle w:val="ListParagraph"/>
        <w:numPr>
          <w:ilvl w:val="0"/>
          <w:numId w:val="2"/>
        </w:numPr>
        <w:spacing w:before="60" w:after="60"/>
      </w:pPr>
      <w:r>
        <w:rPr>
          <w:rFonts w:ascii="Arial" w:cs="Arial" w:eastAsia="Arial" w:hAnsi="Arial"/>
          <w:color w:val="1A1A1A"/>
          <w:sz w:val="22"/>
          <w:szCs w:val="22"/>
        </w:rPr>
        <w:t xml:space="preserve">Data Subject Rights: Customer data in Cloud Spanner CustomerMDM is keyed by entity_customer_id — enabling point-deletion (right to erasure) and data export (right to access) at the individual level without requiring full-table scans. Deletion propagates via Dataform incremental models to Silver/Gold BigQuery tables.</w:t>
      </w:r>
    </w:p>
    <w:p>
      <w:pPr>
        <w:pStyle w:val="ListParagraph"/>
        <w:numPr>
          <w:ilvl w:val="0"/>
          <w:numId w:val="2"/>
        </w:numPr>
        <w:spacing w:before="60" w:after="60"/>
      </w:pPr>
      <w:r>
        <w:rPr>
          <w:rFonts w:ascii="Arial" w:cs="Arial" w:eastAsia="Arial" w:hAnsi="Arial"/>
          <w:color w:val="1A1A1A"/>
          <w:sz w:val="22"/>
          <w:szCs w:val="22"/>
        </w:rPr>
        <w:t xml:space="preserve">Data Mapping: Dataplex catalog with PII tags provides a living data map of where personal information resides across the platform — satisfying CCPA record-of-processing requirements.</w:t>
      </w:r>
    </w:p>
    <w:p>
      <w:pPr>
        <w:pStyle w:val="ListParagraph"/>
        <w:numPr>
          <w:ilvl w:val="0"/>
          <w:numId w:val="2"/>
        </w:numPr>
        <w:spacing w:before="60" w:after="60"/>
      </w:pPr>
      <w:r>
        <w:rPr>
          <w:rFonts w:ascii="Arial" w:cs="Arial" w:eastAsia="Arial" w:hAnsi="Arial"/>
          <w:color w:val="1A1A1A"/>
          <w:sz w:val="22"/>
          <w:szCs w:val="22"/>
        </w:rPr>
        <w:t xml:space="preserve">Data Minimization: Cloud DLP InfoType detectors identify unnecessary PII during Bronze ingestion. Fields not required for payment analytics can be suppressed (DLP redact transform) before Bronze landing.</w:t>
      </w:r>
    </w:p>
    <w:p>
      <w:pPr>
        <w:pStyle w:val="ListParagraph"/>
        <w:numPr>
          <w:ilvl w:val="0"/>
          <w:numId w:val="2"/>
        </w:numPr>
        <w:spacing w:before="60" w:after="60"/>
      </w:pPr>
      <w:r>
        <w:rPr>
          <w:rFonts w:ascii="Arial" w:cs="Arial" w:eastAsia="Arial" w:hAnsi="Arial"/>
          <w:color w:val="1A1A1A"/>
          <w:sz w:val="22"/>
          <w:szCs w:val="22"/>
        </w:rPr>
        <w:t xml:space="preserve">Consent &amp; Purpose Limitation: JHBI processes FI customer data only for agreed DaaS analytics purposes as defined in the FI data processing agreement. No JHBI data is shared with third parties or used for advertising.</w:t>
      </w:r>
    </w:p>
    <w:p>
      <w:pPr>
        <w:spacing w:before="60" w:after="60"/>
      </w:pPr>
      <w:r>
        <w:t xml:space="preserve"/>
      </w:r>
    </w:p>
    <w:p>
      <w:pPr>
        <w:pStyle w:val="Heading2"/>
        <w:spacing w:before="200" w:after="120"/>
      </w:pPr>
      <w:r>
        <w:rPr>
          <w:rFonts w:ascii="Arial" w:cs="Arial" w:eastAsia="Arial" w:hAnsi="Arial"/>
          <w:b/>
          <w:bCs/>
          <w:color w:val="2E75B6"/>
          <w:sz w:val="26"/>
          <w:szCs w:val="26"/>
        </w:rPr>
        <w:t xml:space="preserve">13.7 Cross-Cutting Compliance Controls — Isolation, Logging &amp; Monitoring</w:t>
      </w:r>
    </w:p>
    <w:p>
      <w:pPr>
        <w:spacing w:before="80" w:after="80"/>
      </w:pPr>
      <w:r>
        <w:rPr>
          <w:rFonts w:ascii="Arial" w:cs="Arial" w:eastAsia="Arial" w:hAnsi="Arial"/>
          <w:color w:val="1A1A1A"/>
          <w:sz w:val="22"/>
          <w:szCs w:val="22"/>
        </w:rPr>
        <w:t xml:space="preserve">The following controls apply across all regulatory frameworks and are foundational to the JHBI compliance posture: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Control</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Architecture Implementation</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Regulatory Coverage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Tenant Data Isolation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Per-FI BigQuery datasets + RLS + API-layer fi_id injection + VPC Service Controls perimeter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GLBA (NPI isolation), SOC 2 (Confidentiality), PCI (tenant separation), FFIEC (data integrity)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Immutable Audit Logs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 Audit Logs → BigQuery sink with retention lock; Data Access logs on BigQuery, Spanner, Secret Manager; 7-year retention</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PCI Req 10, NACHA 6yr, SOC 2 CC7, FFIEC log retention, GLBA Safeguards Rule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Encryption at Rest &amp; Transit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CMEK (Cloud KMS) on all data stores; TLS 1.3 on all connections; separate key rings per data class (PCI, PII, General)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PCI Req 3-4, GLBA Safeguards Rule, SOC 2 Confidentiality, FFIEC IT Examination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Privileged Access Management</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No individual IAM bindings in prod; Google Groups only; PAM via Just-In-Time (JIT) elevation requests (Cloud Identity); all elevated access logged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SOC 2 CC6, PCI Req 7-8, GLBA Safeguards, FFIEC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Vulnerability Management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Artifact Registry container scanning; Cloud Build SAST checks; SCC Premium findings; OS patch management via GCE/Cloud Run base images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PCI Req 6, SOC 2 CC7, FFIEC IT Risk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Incident Response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SCC Premium threat detection → Cloud Monitoring alerting → PagerDuty escalation; defined runbooks per incident type; 72-hour breach notification window tracked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SOC 2 CC7, GLBA Safeguards (Incident Response Plan), FFIEC BCM, State breach notification laws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Data Residency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Organization Policy: constrain-resource-locations enforces US regions only (us-central1, us-east4). No international data transfer without explicit waiver.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GLBA, FFIEC, CCPA — US data residency requirements; avoids GDPR applicability for US-only FI data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DLP &amp; PII Discovery</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 DLP scans on Bronze ingest and weekly scheduled inspection of Silver/Gold; findings auto-tag in Dataplex; untagged PII alerts to security team</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GLBA (NPI identification), SOC 2 Privacy, CCPA (data mapping), PCI (CHD discovery)</w:t>
            </w:r>
          </w:p>
        </w:tc>
      </w:tr>
    </w:tbl>
    <w:p>
      <w:pPr>
        <w:spacing w:before="60" w:after="60"/>
      </w:pPr>
      <w:r>
        <w:t xml:space="preserve"/>
      </w:r>
    </w:p>
    <w:p>
      <w:pPr>
        <w:pStyle w:val="Heading1"/>
        <w:pageBreakBefore/>
        <w:spacing w:before="240" w:after="200"/>
      </w:pPr>
      <w:r>
        <w:rPr>
          <w:rFonts w:ascii="Arial" w:cs="Arial" w:eastAsia="Arial" w:hAnsi="Arial"/>
          <w:b/>
          <w:bCs/>
          <w:color w:val="1F4E79"/>
          <w:sz w:val="32"/>
          <w:szCs w:val="32"/>
        </w:rPr>
        <w:t xml:space="preserve">13. Architecture Decision Records (ADRs)</w:t>
      </w:r>
    </w:p>
    <w:p>
      <w:pPr>
        <w:spacing w:before="80" w:after="80"/>
      </w:pPr>
      <w:r>
        <w:rPr>
          <w:rFonts w:ascii="Arial" w:cs="Arial" w:eastAsia="Arial" w:hAnsi="Arial"/>
          <w:color w:val="1A1A1A"/>
          <w:sz w:val="22"/>
          <w:szCs w:val="22"/>
        </w:rPr>
        <w:t xml:space="preserve">The following key architectural decisions have been made for the JHBI MVP:</w:t>
      </w:r>
    </w:p>
    <w:p>
      <w:pPr>
        <w:spacing w:before="60" w:after="60"/>
      </w:pPr>
      <w:r>
        <w:t xml:space="preserve"/>
      </w:r>
    </w:p>
    <w:p>
      <w:pPr>
        <w:pStyle w:val="Heading2"/>
        <w:spacing w:before="200" w:after="120"/>
      </w:pPr>
      <w:r>
        <w:rPr>
          <w:rFonts w:ascii="Arial" w:cs="Arial" w:eastAsia="Arial" w:hAnsi="Arial"/>
          <w:b/>
          <w:bCs/>
          <w:color w:val="2E75B6"/>
          <w:sz w:val="26"/>
          <w:szCs w:val="26"/>
        </w:rPr>
        <w:t xml:space="preserve">ADR-001: Multi-Tenant Isolation Strategy — Layered Model (Updated)</w:t>
      </w:r>
    </w:p>
    <w:p>
      <w:pPr>
        <w:pStyle w:val="ListParagraph"/>
        <w:numPr>
          <w:ilvl w:val="0"/>
          <w:numId w:val="2"/>
        </w:numPr>
        <w:spacing w:before="60" w:after="60"/>
      </w:pPr>
      <w:r>
        <w:rPr>
          <w:rFonts w:ascii="Arial" w:cs="Arial" w:eastAsia="Arial" w:hAnsi="Arial"/>
          <w:color w:val="1A1A1A"/>
          <w:sz w:val="22"/>
          <w:szCs w:val="22"/>
        </w:rPr>
        <w:t xml:space="preserve">Decision: Bronze — shared source-system datasets (jhbi_bronze_{source_system}); Silver — shared datasets (jhbi_silver_payments etc.) with fi_id RLS; Gold Internal — shared (jhbi_gold_internal) with RLS for JH cross-FI use; Gold External — Analytics Hub per-FI listings giving each FI a linked dataset in their own GCP project.</w:t>
      </w:r>
    </w:p>
    <w:p>
      <w:pPr>
        <w:pStyle w:val="ListParagraph"/>
        <w:numPr>
          <w:ilvl w:val="0"/>
          <w:numId w:val="2"/>
        </w:numPr>
        <w:spacing w:before="60" w:after="60"/>
      </w:pPr>
      <w:r>
        <w:rPr>
          <w:rFonts w:ascii="Arial" w:cs="Arial" w:eastAsia="Arial" w:hAnsi="Arial"/>
          <w:color w:val="1A1A1A"/>
          <w:sz w:val="22"/>
          <w:szCs w:val="22"/>
        </w:rPr>
        <w:t xml:space="preserve">Rationale: Shared Bronze/Silver eliminates dataset proliferation at layers where no external access occurs. Analytics Hub at Gold External gives each FI their own apparent BigQuery project today without JHBI managing hundreds of datasets. IAM + RLS + API fi_id injection provide layered enforcement.</w:t>
      </w:r>
    </w:p>
    <w:p>
      <w:pPr>
        <w:pStyle w:val="ListParagraph"/>
        <w:numPr>
          <w:ilvl w:val="0"/>
          <w:numId w:val="2"/>
        </w:numPr>
        <w:spacing w:before="60" w:after="60"/>
      </w:pPr>
      <w:r>
        <w:rPr>
          <w:rFonts w:ascii="Arial" w:cs="Arial" w:eastAsia="Arial" w:hAnsi="Arial"/>
          <w:color w:val="1A1A1A"/>
          <w:sz w:val="22"/>
          <w:szCs w:val="22"/>
        </w:rPr>
        <w:t xml:space="preserve">Previous decision (superseded): Per-FI BigQuery datasets at all layers. Viable at &lt; 50 FIs; does not scale to hundreds without significant operational overhead.</w:t>
      </w:r>
    </w:p>
    <w:p>
      <w:pPr>
        <w:pStyle w:val="ListParagraph"/>
        <w:numPr>
          <w:ilvl w:val="0"/>
          <w:numId w:val="2"/>
        </w:numPr>
        <w:spacing w:before="60" w:after="60"/>
      </w:pPr>
      <w:r>
        <w:rPr>
          <w:rFonts w:ascii="Arial" w:cs="Arial" w:eastAsia="Arial" w:hAnsi="Arial"/>
          <w:color w:val="1A1A1A"/>
          <w:sz w:val="22"/>
          <w:szCs w:val="22"/>
        </w:rPr>
        <w:t xml:space="preserve">Migration path to project-per-FI (planned end state): Analytics Hub linked dataset is promoted to a fully replicated dataset in a dedicated per-FI GCP project. No change to FI downstream integrations — same table names and project reference.</w:t>
      </w:r>
    </w:p>
    <w:p>
      <w:pPr>
        <w:spacing w:before="60" w:after="60"/>
      </w:pPr>
      <w:r>
        <w:t xml:space="preserve"/>
      </w:r>
    </w:p>
    <w:p>
      <w:pPr>
        <w:pStyle w:val="Heading2"/>
        <w:spacing w:before="200" w:after="120"/>
      </w:pPr>
      <w:r>
        <w:rPr>
          <w:rFonts w:ascii="Arial" w:cs="Arial" w:eastAsia="Arial" w:hAnsi="Arial"/>
          <w:b/>
          <w:bCs/>
          <w:color w:val="2E75B6"/>
          <w:sz w:val="26"/>
          <w:szCs w:val="26"/>
        </w:rPr>
        <w:t xml:space="preserve">ADR-002: Cloud Spanner for Entity MDM vs. BigQuery Only</w:t>
      </w:r>
    </w:p>
    <w:p>
      <w:pPr>
        <w:pStyle w:val="ListParagraph"/>
        <w:numPr>
          <w:ilvl w:val="0"/>
          <w:numId w:val="2"/>
        </w:numPr>
        <w:spacing w:before="60" w:after="60"/>
      </w:pPr>
      <w:r>
        <w:rPr>
          <w:rFonts w:ascii="Arial" w:cs="Arial" w:eastAsia="Arial" w:hAnsi="Arial"/>
          <w:color w:val="1A1A1A"/>
          <w:sz w:val="22"/>
          <w:szCs w:val="22"/>
        </w:rPr>
        <w:t xml:space="preserve">Decision: Cloud Spanner for entity master records (CustomerMDM, AccountMDM, HouseholdMDM); BigQuery for analytical aggregates</w:t>
      </w:r>
    </w:p>
    <w:p>
      <w:pPr>
        <w:pStyle w:val="ListParagraph"/>
        <w:numPr>
          <w:ilvl w:val="0"/>
          <w:numId w:val="2"/>
        </w:numPr>
        <w:spacing w:before="60" w:after="60"/>
      </w:pPr>
      <w:r>
        <w:rPr>
          <w:rFonts w:ascii="Arial" w:cs="Arial" w:eastAsia="Arial" w:hAnsi="Arial"/>
          <w:color w:val="1A1A1A"/>
          <w:sz w:val="22"/>
          <w:szCs w:val="22"/>
        </w:rPr>
        <w:t xml:space="preserve">Rationale: Data Services APIs require &lt; 10ms point-lookup latency for customer and account queries. BigQuery is optimized for analytics, not low-latency key-value lookups. Spanner provides strong consistency required for entity resolution write operations.</w:t>
      </w:r>
    </w:p>
    <w:p>
      <w:pPr>
        <w:pStyle w:val="ListParagraph"/>
        <w:numPr>
          <w:ilvl w:val="0"/>
          <w:numId w:val="2"/>
        </w:numPr>
        <w:spacing w:before="60" w:after="60"/>
      </w:pPr>
      <w:r>
        <w:rPr>
          <w:rFonts w:ascii="Arial" w:cs="Arial" w:eastAsia="Arial" w:hAnsi="Arial"/>
          <w:color w:val="1A1A1A"/>
          <w:sz w:val="22"/>
          <w:szCs w:val="22"/>
        </w:rPr>
        <w:t xml:space="preserve">Tradeoff: Adds operational complexity and cost. Spanner costs justified by API SLA requirements (&lt; 500ms P95 overall; Spanner contributes &lt; 10ms).</w:t>
      </w:r>
    </w:p>
    <w:p>
      <w:pPr>
        <w:spacing w:before="60" w:after="60"/>
      </w:pPr>
      <w:r>
        <w:t xml:space="preserve"/>
      </w:r>
    </w:p>
    <w:p>
      <w:pPr>
        <w:pStyle w:val="Heading2"/>
        <w:spacing w:before="200" w:after="120"/>
      </w:pPr>
      <w:r>
        <w:rPr>
          <w:rFonts w:ascii="Arial" w:cs="Arial" w:eastAsia="Arial" w:hAnsi="Arial"/>
          <w:b/>
          <w:bCs/>
          <w:color w:val="2E75B6"/>
          <w:sz w:val="26"/>
          <w:szCs w:val="26"/>
        </w:rPr>
        <w:t xml:space="preserve">ADR-003: Dataform for ELT vs. Dataflow / Spark</w:t>
      </w:r>
    </w:p>
    <w:p>
      <w:pPr>
        <w:pStyle w:val="ListParagraph"/>
        <w:numPr>
          <w:ilvl w:val="0"/>
          <w:numId w:val="2"/>
        </w:numPr>
        <w:spacing w:before="60" w:after="60"/>
      </w:pPr>
      <w:r>
        <w:rPr>
          <w:rFonts w:ascii="Arial" w:cs="Arial" w:eastAsia="Arial" w:hAnsi="Arial"/>
          <w:color w:val="1A1A1A"/>
          <w:sz w:val="22"/>
          <w:szCs w:val="22"/>
        </w:rPr>
        <w:t xml:space="preserve">Decision: Dataform (SQL-based) for Bronze → Silver → Gold transformations; Dataflow reserved for streaming ingestion only</w:t>
      </w:r>
    </w:p>
    <w:p>
      <w:pPr>
        <w:pStyle w:val="ListParagraph"/>
        <w:numPr>
          <w:ilvl w:val="0"/>
          <w:numId w:val="2"/>
        </w:numPr>
        <w:spacing w:before="60" w:after="60"/>
      </w:pPr>
      <w:r>
        <w:rPr>
          <w:rFonts w:ascii="Arial" w:cs="Arial" w:eastAsia="Arial" w:hAnsi="Arial"/>
          <w:color w:val="1A1A1A"/>
          <w:sz w:val="22"/>
          <w:szCs w:val="22"/>
        </w:rPr>
        <w:t xml:space="preserve">Rationale: Dataform provides Git-based version control, lineage tracking, and team-friendly SQL authoring at significantly lower cost than managed Spark or Dataflow batch jobs. SQL transformations are more accessible to data engineers without Beam/Spark expertise.</w:t>
      </w:r>
    </w:p>
    <w:p>
      <w:pPr>
        <w:pStyle w:val="ListParagraph"/>
        <w:numPr>
          <w:ilvl w:val="0"/>
          <w:numId w:val="2"/>
        </w:numPr>
        <w:spacing w:before="60" w:after="60"/>
      </w:pPr>
      <w:r>
        <w:rPr>
          <w:rFonts w:ascii="Arial" w:cs="Arial" w:eastAsia="Arial" w:hAnsi="Arial"/>
          <w:color w:val="1A1A1A"/>
          <w:sz w:val="22"/>
          <w:szCs w:val="22"/>
        </w:rPr>
        <w:t xml:space="preserve">Tradeoff: Dataform is BigQuery-native — if future requirements include multi-cloud or non-BigQuery targets, transformation logic must be re-implemented.</w:t>
      </w:r>
    </w:p>
    <w:p>
      <w:pPr>
        <w:spacing w:before="60" w:after="60"/>
      </w:pPr>
      <w:r>
        <w:t xml:space="preserve"/>
      </w:r>
    </w:p>
    <w:p>
      <w:pPr>
        <w:pStyle w:val="Heading2"/>
        <w:spacing w:before="200" w:after="120"/>
      </w:pPr>
      <w:r>
        <w:rPr>
          <w:rFonts w:ascii="Arial" w:cs="Arial" w:eastAsia="Arial" w:hAnsi="Arial"/>
          <w:b/>
          <w:bCs/>
          <w:color w:val="2E75B6"/>
          <w:sz w:val="26"/>
          <w:szCs w:val="26"/>
        </w:rPr>
        <w:t xml:space="preserve">ADR-004: API Gateway + Cloud Run vs. Apigee</w:t>
      </w:r>
    </w:p>
    <w:p>
      <w:pPr>
        <w:pStyle w:val="ListParagraph"/>
        <w:numPr>
          <w:ilvl w:val="0"/>
          <w:numId w:val="2"/>
        </w:numPr>
        <w:spacing w:before="60" w:after="60"/>
      </w:pPr>
      <w:r>
        <w:rPr>
          <w:rFonts w:ascii="Arial" w:cs="Arial" w:eastAsia="Arial" w:hAnsi="Arial"/>
          <w:color w:val="1A1A1A"/>
          <w:sz w:val="22"/>
          <w:szCs w:val="22"/>
        </w:rPr>
        <w:t xml:space="preserve">Decision: API Gateway + Cloud Run for MVP Data Services; Apigee deferred to post-MVP</w:t>
      </w:r>
    </w:p>
    <w:p>
      <w:pPr>
        <w:pStyle w:val="ListParagraph"/>
        <w:numPr>
          <w:ilvl w:val="0"/>
          <w:numId w:val="2"/>
        </w:numPr>
        <w:spacing w:before="60" w:after="60"/>
      </w:pPr>
      <w:r>
        <w:rPr>
          <w:rFonts w:ascii="Arial" w:cs="Arial" w:eastAsia="Arial" w:hAnsi="Arial"/>
          <w:color w:val="1A1A1A"/>
          <w:sz w:val="22"/>
          <w:szCs w:val="22"/>
        </w:rPr>
        <w:t xml:space="preserve">Rationale: API Gateway + Cloud Run provides sufficient OAuth 2.0 validation, rate limiting, and monitoring for MVP scale. Apigee adds significant cost and operational complexity not warranted for an initial 5-20 FI rollout.</w:t>
      </w:r>
    </w:p>
    <w:p>
      <w:pPr>
        <w:pStyle w:val="ListParagraph"/>
        <w:numPr>
          <w:ilvl w:val="0"/>
          <w:numId w:val="2"/>
        </w:numPr>
        <w:spacing w:before="60" w:after="60"/>
      </w:pPr>
      <w:r>
        <w:rPr>
          <w:rFonts w:ascii="Arial" w:cs="Arial" w:eastAsia="Arial" w:hAnsi="Arial"/>
          <w:color w:val="1A1A1A"/>
          <w:sz w:val="22"/>
          <w:szCs w:val="22"/>
        </w:rPr>
        <w:t xml:space="preserve">Tradeoff: Apigee provides advanced API analytics, developer portal, monetization, and policy management. These features will be evaluated as FI count grows beyond 50.</w:t>
      </w:r>
    </w:p>
    <w:p>
      <w:pPr>
        <w:spacing w:before="60" w:after="60"/>
      </w:pPr>
      <w:r>
        <w:t xml:space="preserve"/>
      </w:r>
    </w:p>
    <w:p>
      <w:pPr>
        <w:pStyle w:val="Heading1"/>
        <w:pageBreakBefore/>
        <w:spacing w:before="240" w:after="200"/>
      </w:pPr>
      <w:r>
        <w:rPr>
          <w:rFonts w:ascii="Arial" w:cs="Arial" w:eastAsia="Arial" w:hAnsi="Arial"/>
          <w:b/>
          <w:bCs/>
          <w:color w:val="1F4E79"/>
          <w:sz w:val="32"/>
          <w:szCs w:val="32"/>
        </w:rPr>
        <w:t xml:space="preserve">15. Open Items &amp;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000"/>
        <w:gridCol w:w="37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Open Item</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Confirm source DB types and connectivity for EPS Ensenta, EPS ACH (PostgreSQL vs. MySQL vs. Oracle)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Data Engineering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Determines Datastream connector type and CDC replication lag characteristics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PCI Discovery Audit scope definition — confirm DLP tokenization approach meets auditor requirements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Security / Compliance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May require third-party PCI QSA review of Dataflow tokenization design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Cloud Spanner vs. Firestore evaluation for token vault (cost vs. consistency requirements)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Architecture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Firestore may be sufficient for token vault if point lookups are acceptable; lower cost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FI onboarding identity provisioning workflow — how FIs get Cloud Identity tenants and service accounts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Platform / Ops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Terraform module for FI onboarding should automate dataset creation, IAM, and Spanner tenant setup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Power BI connectivity model — DirectQuery vs. Import mode; XMLA Premium endpoint requirements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Data Engineering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Impacts BI Engine reservation sizing and Gold schema design for semantic layer</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Victor / PayRails as 5th payment source — schema alignment and CDC connector identification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Data Engineering</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Referenced in MVP document; confirm timeline for inclusion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Finalize GCP regions — us-central1 primary + us-east4 for DR; confirm Spanner multi-region config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Architecture / Infra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Impacts Spanner and BigQuery dataset location; DR RTO/RPO requirements TBD</w:t>
            </w:r>
          </w:p>
        </w:tc>
      </w:tr>
    </w:tbl>
    <w:p>
      <w:pPr>
        <w:spacing w:before="60" w:after="60"/>
      </w:pPr>
      <w:r>
        <w:t xml:space="preserve"/>
      </w:r>
    </w:p>
    <w:p>
      <w:pPr>
        <w:spacing w:before="60" w:after="60"/>
      </w:pPr>
      <w:r>
        <w:t xml:space="preserve"/>
      </w:r>
    </w:p>
    <w:p>
      <w:pPr>
        <w:spacing w:before="400" w:after="200"/>
        <w:jc w:val="center"/>
      </w:pPr>
      <w:r>
        <w:rPr>
          <w:rFonts w:ascii="Arial" w:cs="Arial" w:eastAsia="Arial" w:hAnsi="Arial"/>
          <w:i/>
          <w:iCs/>
          <w:color w:val="BFBFBF"/>
          <w:sz w:val="20"/>
          <w:szCs w:val="20"/>
        </w:rPr>
        <w:t xml:space="preserve">— End of Document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2" w:space="1"/>
      </w:pBdr>
    </w:pPr>
    <w:r>
      <w:rPr>
        <w:rFonts w:ascii="Arial" w:cs="Arial" w:eastAsia="Arial" w:hAnsi="Arial"/>
        <w:color w:val="BFBFBF"/>
        <w:sz w:val="18"/>
        <w:szCs w:val="18"/>
      </w:rPr>
      <w:t xml:space="preserve">Page </w:t>
    </w:r>
    <w:r>
      <w:rPr>
        <w:rFonts w:ascii="Arial" w:cs="Arial" w:eastAsia="Arial" w:hAnsi="Arial"/>
        <w:color w:val="BFBFBF"/>
        <w:sz w:val="18"/>
        <w:szCs w:val="18"/>
      </w:rPr>
      <w:fldChar w:fldCharType="begin"/>
      <w:instrText xml:space="preserve">PAGE</w:instrText>
      <w:fldChar w:fldCharType="separate"/>
      <w:fldChar w:fldCharType="end"/>
    </w:r>
    <w:r>
      <w:rPr>
        <w:rFonts w:ascii="Arial" w:cs="Arial" w:eastAsia="Arial" w:hAnsi="Arial"/>
        <w:color w:val="BFBFBF"/>
        <w:sz w:val="18"/>
        <w:szCs w:val="18"/>
      </w:rPr>
      <w:t xml:space="preserve"> | JHBI Data as a Service | GCP Architecture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b/>
        <w:bCs/>
        <w:color w:val="1F4E79"/>
        <w:sz w:val="18"/>
        <w:szCs w:val="18"/>
      </w:rPr>
      <w:t xml:space="preserve">JHBI GCP Architecture</w:t>
    </w:r>
    <w:r>
      <w:rPr>
        <w:rFonts w:ascii="Arial" w:cs="Arial" w:eastAsia="Arial" w:hAnsi="Arial"/>
        <w:sz w:val="18"/>
        <w:szCs w:val="18"/>
      </w:rPr>
      <w:t xml:space="preserve">	</w:t>
    </w:r>
    <w:r>
      <w:rPr>
        <w:rFonts w:ascii="Arial" w:cs="Arial" w:eastAsia="Arial" w:hAnsi="Arial"/>
        <w:i/>
        <w:iCs/>
        <w:color w:val="BFBFBF"/>
        <w:sz w:val="18"/>
        <w:szCs w:val="18"/>
      </w:rPr>
      <w:t xml:space="preserve">Jack Henry &amp; Associates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lvl w:ilvl="2" w15:tentative="1">
      <w:start w:val="1"/>
      <w:numFmt w:val="bullet"/>
      <w:lvlText w:val="▪"/>
      <w:lvlJc w:val="left"/>
      <w:pPr>
        <w:ind w:left="144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2026-02-24T17:28:38.121Z</dcterms:created>
  <dcterms:modified xsi:type="dcterms:W3CDTF">2026-02-24T17:28:38.121Z</dcterms:modified>
</cp:coreProperties>
</file>

<file path=docProps/custom.xml><?xml version="1.0" encoding="utf-8"?>
<Properties xmlns="http://schemas.openxmlformats.org/officeDocument/2006/custom-properties" xmlns:vt="http://schemas.openxmlformats.org/officeDocument/2006/docPropsVTypes"/>
</file>