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32"/>
              <w:bottom w:val="none" w:color="FFFFFF" w:sz="0"/>
              <w:right w:val="none" w:color="FFFFFF" w:sz="0"/>
            </w:tcBorders>
            <w:shd w:fill="EAF2F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before="0" w:after="1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48"/>
                <w:szCs w:val="48"/>
              </w:rPr>
              <w:t xml:space="preserve">JHBI Data as a Service</w:t>
            </w:r>
          </w:p>
          <w:p>
            <w:pPr>
              <w:spacing w:before="0" w:after="16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30"/>
                <w:szCs w:val="30"/>
              </w:rPr>
              <w:t xml:space="preserve">GCP Project Topology, Tenancy &amp; Cost Attribution</w:t>
            </w:r>
          </w:p>
          <w:p>
            <w:pPr>
              <w:spacing w:before="0" w:after="200"/>
            </w:pPr>
            <w:r>
              <w:rPr>
                <w:rFonts w:ascii="Calibri" w:cs="Calibri" w:eastAsia="Calibri" w:hAnsi="Calibri"/>
                <w:color w:val="666666"/>
                <w:sz w:val="22"/>
                <w:szCs w:val="22"/>
              </w:rPr>
              <w:t xml:space="preserve">Options  ·  Challenges  ·  Migration Path  ·  Recommendations</w:t>
            </w:r>
          </w:p>
          <w:p>
            <w:pPr>
              <w:pBdr>
                <w:bottom w:val="single" w:color="E9EEF3" w:sz="4" w:space="4"/>
              </w:pBdr>
              <w:spacing w:before="80" w:after="80"/>
            </w:pPr>
          </w:p>
          <w:p>
            <w:pPr>
              <w:spacing w:before="100" w:after="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Status: </w:t>
            </w: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Working Document</w:t>
            </w: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Version: </w:t>
            </w: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1.0</w:t>
            </w: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Date: </w:t>
            </w: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February 2026</w:t>
            </w:r>
          </w:p>
        </w:tc>
      </w:tr>
    </w:tbl>
    <w:p>
      <w:pPr>
        <w:spacing w:before="0" w:after="320"/>
      </w:pPr>
    </w:p>
    <w:p>
      <w:pPr>
        <w:pStyle w:val="Heading1"/>
        <w:pBdr>
          <w:bottom w:val="single" w:color="D6E4F0" w:sz="6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Executive Summary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JHBI's current single-GCP-project deployment simplifies early development but creates three compounding problems as the platform grows: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cost opacity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(no native per-FI billing),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blast-radius risk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(one misconfiguration can affect all FIs), and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compliance friction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(audit queries must span all tenant data rather than being scoped to an individual FI).</w:t>
      </w:r>
    </w:p>
    <w:p>
      <w:pPr>
        <w:spacing w:before="0" w:after="80"/>
      </w:pPr>
    </w:p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This document describes the three viable GCP project topology options, the tradeoffs of each, and a concrete migration path that allows JHBI to start with a single project today and promote individual FIs to dedicated projects later — without changing application code.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Key Design Principle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Never hardcode GCP project IDs, dataset names, or fi_id values in application code. Use config-driven references (BQ_PROJECT_ID, DATASET_ID, fi_id from JWT). This keeps every topology option open at all times — migration becomes a configuration and infrastructure change, not a code change.</w:t>
            </w:r>
          </w:p>
        </w:tc>
      </w:tr>
    </w:tbl>
    <w:p>
      <w:pPr>
        <w:spacing w:before="0" w:after="320"/>
      </w:pPr>
    </w:p>
    <w:p>
      <w:pPr>
        <w:pStyle w:val="Heading1"/>
        <w:pBdr>
          <w:bottom w:val="single" w:color="D6E4F0" w:sz="6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 Current State &amp; Challenges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Today all JHBI workloads — ingestion, data lake, APIs, portal, CI/CD — run inside a single GCP project. This is a common and reasonable starting point, but it introduces a set of problems that compound as the number of FI customers grows.</w:t>
      </w:r>
    </w:p>
    <w:p>
      <w:pPr>
        <w:spacing w:before="0" w:after="10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1.1  What a Single Project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jhbi-prod  (single project)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 ├─ BigQuery: Bronze datasets, Silver, Gold Internal, Gold External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 ├─ Datastream: CDC pipelines for all FIs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 ├─ Cloud Run: API + Portal backends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 ├─ Cloud Composer: Dataform orchestration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 ├─ Spanner: Entity MDM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  └─ CI/CD, Secret Manager, Artifact Registry, logging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1.2  The Problems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200"/>
        <w:gridCol w:w="3560"/>
        <w:gridCol w:w="3400"/>
      </w:tblGrid>
      <w:tr>
        <w:trPr>
          <w:tblHeader/>
        </w:trPr>
        <w:tc>
          <w:tcPr>
            <w:tcW w:type="dxa" w:w="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Happens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Impact</w:t>
            </w:r>
          </w:p>
        </w:tc>
      </w:tr>
      <w:tr>
        <w:tc>
          <w:tcPr>
            <w:tcW w:type="dxa" w:w="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Cost opacity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GCP bills at the project level. All FI compute, storage, and API traffic blends into a single line item. Job labels help but are not enforced — any developer forgetting to label a query silently breaks attribution.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Cannot charge-back or benchmark cost per FI. Cannot identify which FI is driving a cost spike. Budget alerts fire on total spend, not per-FI.</w:t>
            </w:r>
          </w:p>
        </w:tc>
      </w:tr>
      <w:tr>
        <w:tc>
          <w:tcPr>
            <w:tcW w:type="dxa" w:w="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E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E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No hard spend controls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GCP budget alerts and quotas apply to the project, not to a tenant within it. A single FI running expensive queries cannot be throttled without throttling all FIs.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One large FI's batch job can starve capacity for all other FIs on shared slot reservations. No per-FI rate limiting at the infrastructure level.</w:t>
            </w:r>
          </w:p>
        </w:tc>
      </w:tr>
      <w:tr>
        <w:tc>
          <w:tcPr>
            <w:tcW w:type="dxa" w:w="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E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E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IAM blast radius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Every service account, dataset, and resource shares the same IAM namespace. A misconfigured binding — granting the wrong SA access to a dataset — is one mistake away from cross-FI data exposure.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Security incidents require broader investigation. Proving audit scope for a single FI requires filtering all project-level logs rather than isolating to a project.</w:t>
            </w:r>
          </w:p>
        </w:tc>
      </w:tr>
      <w:tr>
        <w:tc>
          <w:tcPr>
            <w:tcW w:type="dxa" w:w="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5E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5E00"/>
                <w:sz w:val="18"/>
                <w:szCs w:val="18"/>
              </w:rPr>
              <w:t xml:space="preserve">Compliance friction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GLBA, SOC 2, and individual FI contracts may require demonstrable data isolation. Proving that FI-A's data is inaccessible to FI-B in a shared project requires policy evidence; in a separate project it is architectural.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Enterprise FI onboarding stalls on security questionnaires. Audit evidence requires custom log filter queries. Data residency clauses are harder to satisfy.</w:t>
            </w:r>
          </w:p>
        </w:tc>
      </w:tr>
      <w:tr>
        <w:tc>
          <w:tcPr>
            <w:tcW w:type="dxa" w:w="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5E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5E00"/>
                <w:sz w:val="18"/>
                <w:szCs w:val="18"/>
              </w:rPr>
              <w:t xml:space="preserve">Operational coupling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 quota exhaustion, API outage, or accidental resource deletion in one part of the project can affect all FIs. Deployments are project-wide events.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Changes carry disproportionate risk. Rolling back a bad deployment affects every FI simultaneously. Incidents have a wide blast radius.</w:t>
            </w:r>
          </w:p>
        </w:tc>
      </w:tr>
    </w:tbl>
    <w:p>
      <w:pPr>
        <w:spacing w:before="0" w:after="320"/>
      </w:pPr>
    </w:p>
    <w:p>
      <w:r>
        <w:br w:type="page"/>
      </w:r>
    </w:p>
    <w:p>
      <w:pPr>
        <w:pStyle w:val="Heading1"/>
        <w:pBdr>
          <w:bottom w:val="single" w:color="D6E4F0" w:sz="6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 Data Architecture — The Layer Model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Regardless of project topology, JHBI's data flows through four layers. Understanding where each layer lives helps clarify the tenancy choices in Section 3.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2040"/>
        <w:gridCol w:w="1680"/>
        <w:gridCol w:w="2360"/>
        <w:gridCol w:w="1960"/>
      </w:tblGrid>
      <w:tr>
        <w:trPr>
          <w:tblHeader/>
        </w:trPr>
        <w:tc>
          <w:tcPr>
            <w:tcW w:type="dxa" w:w="13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0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Tenancy</w:t>
            </w:r>
          </w:p>
        </w:tc>
        <w:tc>
          <w:tcPr>
            <w:tcW w:type="dxa" w:w="1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Accesses</w:t>
            </w:r>
          </w:p>
        </w:tc>
      </w:tr>
      <w:tr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0E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3F00"/>
                <w:sz w:val="18"/>
                <w:szCs w:val="18"/>
              </w:rPr>
              <w:t xml:space="preserve">Bronze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jhbi_bronze_{source}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Raw CDC events, JSON payload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Shared — fi_id partition + pipeline SA IAM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Pipeline SAs only</w:t>
            </w:r>
          </w:p>
        </w:tc>
      </w:tr>
      <w:tr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Silver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jhbi_silver_payments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Unified schema — all rails, all FIs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Shared — BigQuery RLS (fi_id = SESSION_USER())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JH engineers, compliance</w:t>
            </w:r>
          </w:p>
        </w:tc>
      </w:tr>
      <w:tr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B5E00"/>
                <w:sz w:val="18"/>
                <w:szCs w:val="18"/>
              </w:rPr>
              <w:t xml:space="preserve">Gold Internal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jhbi_gold_internal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Star schema — cross-FI analytics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Shared — RLS + Authorized Views; no raw per-FI row exposure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JH analysts, Looker, Vertex AI</w:t>
            </w:r>
          </w:p>
        </w:tc>
      </w:tr>
      <w:tr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Gold External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jhbi_gold_external (shared) or jhbi_fi_{name} (dedicated)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FI-facing tables, per-rail + unified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Shared + API fi_id injection  OR  dedicated dataset per FI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FI users via portal/API/direct BQ SA</w:t>
            </w:r>
          </w:p>
        </w:tc>
      </w:tr>
    </w:tbl>
    <w:p>
      <w:pPr>
        <w:spacing w:before="0" w:after="100"/>
      </w:pPr>
    </w:p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The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Gold External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layer is the primary tenancy decision point. Bronze, Silver, and Gold Internal are always shared across FIs; Gold External is where the choice between shared-with-RLS and per-FI-dataset (or per-FI-project) is made.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2.1  The Silver Unified Schema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single table collapses all payment source systems into a common schema. Rail-specific metadata lives in a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rail_ext JSON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extension column, keeping the core schema stable as new rails are onboarded:</w:t>
      </w:r>
    </w:p>
    <w:p>
      <w:pPr>
        <w:spacing w:before="0" w:after="60"/>
      </w:pPr>
    </w:p>
    <w:tbl>
      <w:tblPr>
        <w:tblW w:type="dxa" w:w="9360"/>
        <w:tblBorders>
          <w:top w:val="single" w:color="AAAAAA" w:sz="4"/>
          <w:left w:val="single" w:color="2E75B6" w:sz="12"/>
          <w:bottom w:val="single" w:color="AAAAAA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jhbi_silver_payments.upt_transaction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fi_id           STRING    -- tenant key — on EVERY 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payment_rail    STRING    -- ACH | FedNow | RTP | Wire | BillPay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payment_type    STRING    -- CREDIT_PUSH | DEBIT_PULL | REQUEST_PAY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direction       STRING    -- DEBIT | CREDIT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amount          NUMERIC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entity_cust_id  STRING    -- resolved via Spanner MDM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entity_acct_id  STRING    -- resolved via Spanner MDM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initiated_at    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settled_at      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status   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rail_ext        JSON      -- FedNow UETR, ACH SEC code, Wire IMAD, etc.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PARTITION BY DATE(initiated_at)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CLUSTER BY fi_id, payment_rail, payment_type</w:t>
            </w:r>
          </w:p>
        </w:tc>
      </w:tr>
    </w:tbl>
    <w:p>
      <w:pPr>
        <w:spacing w:before="0" w:after="10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2.2  Gold Layer Tables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Gold fans out from Silver into purpose-built tables for both internal analytics and FI-facing consumption: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fact_payments_unified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all rails, simplified fields; easy money-movement queries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fact_payments_ach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SEC code, addenda, return reason codes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fact_payments_fednow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UETR, end-to-end ID, ISO 20022 message details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fact_payments_rtp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RTP network identifiers, request-for-payment linkage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fact_payments_wire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IMAD/OMAD, correspondent bank, SWIFT fields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fact_payments_billpay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biller ID, memo line, convenience fee</w:t>
      </w:r>
    </w:p>
    <w:p>
      <w:pPr>
        <w:spacing w:before="0" w:after="320"/>
      </w:pPr>
    </w:p>
    <w:p>
      <w:r>
        <w:br w:type="page"/>
      </w:r>
    </w:p>
    <w:p>
      <w:pPr>
        <w:pStyle w:val="Heading1"/>
        <w:pBdr>
          <w:bottom w:val="single" w:color="D6E4F0" w:sz="6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 GCP Project Topology Options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Three viable options exist for JHBI's GCP project topology. They are not mutually exclusive — the recommended path is to start with Option A or B and migrate to Option C for enterprise FIs over time.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FF0E6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Option A — Single Project with Enforced Labels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Current state. Best for: MVP, &lt; 20 FIs, pre-revenue.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jhbi-prod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├─ BigQuery: all layers (Bronze, Silver, Gold Int, Gold Ext)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├─ All ingestion, compute, API, portal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 Single IAM namespace, single billing account line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How to Make Cost Attribution Work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Enforce job labels via Org Policy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require fi_id and product labels on all BQ jobs; unenforced labels break attribution silently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Per-FI service accounts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for direct BQ access — SA identity is a reliable cost signal even without labels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GCP Billing Export → BigQuery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query billing data by fi_id label monthly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API metering table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log every API call (fi_id, endpoint, rows_returned, bytes_billed) to a dedicated BQ table</w:t>
      </w:r>
    </w:p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5C3A" w:sz="4"/>
              <w:left w:val="single" w:color="1E5C3A" w:sz="4"/>
              <w:bottom w:val="single" w:color="1E5C3A" w:sz="4"/>
              <w:right w:val="single" w:color="1E5C3A" w:sz="4"/>
            </w:tcBorders>
            <w:shd w:fill="1E5C3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Advantages</w:t>
            </w:r>
          </w:p>
        </w:tc>
        <w:tc>
          <w:tcPr>
            <w:tcW w:type="dxa" w:w="468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Disadvantages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✓  Simplest to operate and deploy</w:t>
            </w:r>
          </w:p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✓  No Terraform complexity across projects</w:t>
            </w:r>
          </w:p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✓  Fast to get started</w:t>
            </w:r>
          </w:p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✓  Lower management overhead for small FI counts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✗  Cost attribution relies on labels — easily broken</w:t>
            </w:r>
          </w:p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✗  No hard per-FI spend controls or budget alerts</w:t>
            </w:r>
          </w:p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✗  Wide IAM blast radius</w:t>
            </w:r>
          </w:p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✗  Compliance/audit queries must filter all-tenant logs</w:t>
            </w:r>
          </w:p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✗  One quota exhaustion affects all FIs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A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Option B — Functional Project Separation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Recommended baseline. Best for: 20–100 FIs, post-revenue, pre-enterprise.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jhbi-org (GCP Organization)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├─ jhbi-ingestion-prod    ← Datastream, Pub/Sub, Dataflow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├─ jhbi-datalake-prod     ← BigQuery: Bronze, Silver, Gold Internal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├─ jhbi-serving-prod      ← BigQuery: Gold External, Cloud Run API/Portal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 jhbi-devops-prod       ← CI/CD, Terraform, Artifact Registry, Secret Mgr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How Cost Attribution Works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Each functional project has its own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GCP billing line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ingestion cost, data lake cost, and serving cost are natively separated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Budget alerts fire per-project — a data lake cost spike does not mask an API cost spike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fi_id labels still required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within each project to break costs down to individual FI level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Compliance scoping improves — an audit of FI data access is scoped to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jhbi-datalake-prod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jhbi-serving-prod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only</w:t>
      </w:r>
    </w:p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5C3A" w:sz="4"/>
              <w:left w:val="single" w:color="1E5C3A" w:sz="4"/>
              <w:bottom w:val="single" w:color="1E5C3A" w:sz="4"/>
              <w:right w:val="single" w:color="1E5C3A" w:sz="4"/>
            </w:tcBorders>
            <w:shd w:fill="1E5C3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Advantages</w:t>
            </w:r>
          </w:p>
        </w:tc>
        <w:tc>
          <w:tcPr>
            <w:tcW w:type="dxa" w:w="468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Disadvantages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✓  Native cost separation by function</w:t>
            </w:r>
          </w:p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✓  Smaller IAM blast radius per project</w:t>
            </w:r>
          </w:p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✓  Per-project budget alerts and quotas</w:t>
            </w:r>
          </w:p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✓  Easier compliance scoping</w:t>
            </w:r>
          </w:p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✓  No FI-facing changes — API/portal unchanged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✗  Per-FI cost attribution still requires labels</w:t>
            </w:r>
          </w:p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✗  Cross-project BQ queries add latency + egress cost</w:t>
            </w:r>
          </w:p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✗  More Terraform/IAM to manage</w:t>
            </w:r>
          </w:p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✗  No per-FI spend isolation — one FI can still consume all capacity in a shared project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5C3A" w:sz="24"/>
              <w:bottom w:val="none" w:color="FFFFFF" w:sz="0"/>
              <w:right w:val="none" w:color="FFFFFF" w:sz="0"/>
            </w:tcBorders>
            <w:shd w:fill="E8F5EC" w:val="clear"/>
            <w:tcMar>
              <w:top w:type="dxa" w:w="120"/>
              <w:left w:type="dxa" w:w="280"/>
              <w:bottom w:type="dxa" w:w="12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5C3A"/>
                <w:sz w:val="22"/>
                <w:szCs w:val="22"/>
              </w:rPr>
              <w:t xml:space="preserve">Option C — JHBI-Managed Per-FI Projects  (Recommended End State)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FIs do not manage or interact with these projects. JHBI provisions and owns them all via Terraform.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jhbi-org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├─ jhbi-shared/  (functional separation from Option B)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├─ jhbi-ingestion-prod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├─ jhbi-datalake-prod    ← Bronze + Silver + Gold Internal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│   └─ jhbi-devops-prod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└─ jhbi-fi-tenants/  (JHBI-managed, FI-invisible)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├─ jhbi-fi-acme-bank-prod    ← Gold External BQ, budget alert, SA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├─ jhbi-fi-first-natl-prod   ← same pattern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└─ jhbi-fi-riverbank-prod    ← same pattern</w:t>
            </w:r>
          </w:p>
        </w:tc>
      </w:tr>
    </w:tbl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What Each Per-FI Project Contains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Gold External BigQuery dataset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only that FI's data; Dataform writes to it from the shared datalake project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Per-FI service account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scoped to read from their dataset only; rotated every 90 days via Secret Manager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Budget alert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fires if that FI's project spend exceeds threshold; no cross-FI noise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Dedicated IAM namespace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a permission misconfiguration in one FI project cannot affect another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Project-level audit logs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— 'show all data access for Acme Bank' is a single-project Cloud Logging query</w:t>
      </w:r>
    </w:p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How Cost Attribution Works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GCP bills each FI project separately —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no labels required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for project-level cost attribution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Compute (BQ queries within the FI project) is natively attributed to that FI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Storage in the FI project is that FI's storage cost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Shared platform costs (ingestion, MDM, Composer) remain in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jhbi-datalake-prod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 and are prorated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GCP Billing Export to BigQuery gives a per-project, per-service cost breakdown with zero custom tooling</w:t>
      </w:r>
    </w:p>
    <w:p>
      <w:pPr>
        <w:spacing w:before="0" w:after="100"/>
      </w:pP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5C3A" w:sz="4"/>
              <w:left w:val="single" w:color="1E5C3A" w:sz="4"/>
              <w:bottom w:val="single" w:color="1E5C3A" w:sz="4"/>
              <w:right w:val="single" w:color="1E5C3A" w:sz="4"/>
            </w:tcBorders>
            <w:shd w:fill="1E5C3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Advantages</w:t>
            </w:r>
          </w:p>
        </w:tc>
        <w:tc>
          <w:tcPr>
            <w:tcW w:type="dxa" w:w="468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Disadvantages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✓  Native per-FI cost attribution — no labels needed</w:t>
            </w:r>
          </w:p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✓  Hard budget controls per FI</w:t>
            </w:r>
          </w:p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✓  Smallest possible IAM blast radius</w:t>
            </w:r>
          </w:p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✓  FI project is invisible to FI — no FI GCP account needed</w:t>
            </w:r>
          </w:p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✓  Cleanest compliance posture — audits are per-project</w:t>
            </w:r>
          </w:p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✓  Offboarding: terraform destroy on FI workspace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✗  More GCP projects to manage (Terraform required)</w:t>
            </w:r>
          </w:p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✗  Cross-project BQ writes add small latency</w:t>
            </w:r>
          </w:p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✗  GCP org-level limits on project count (can be raised)</w:t>
            </w:r>
          </w:p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✗  Onboarding automation required — cannot be manual at scale</w:t>
            </w:r>
          </w:p>
        </w:tc>
      </w:tr>
    </w:tbl>
    <w:p>
      <w:pPr>
        <w:spacing w:before="0" w:after="320"/>
      </w:pPr>
    </w:p>
    <w:p>
      <w:r>
        <w:br w:type="page"/>
      </w:r>
    </w:p>
    <w:p>
      <w:pPr>
        <w:pStyle w:val="Heading1"/>
        <w:pBdr>
          <w:bottom w:val="single" w:color="D6E4F0" w:sz="6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 Option Comparison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20"/>
        <w:gridCol w:w="2420"/>
        <w:gridCol w:w="242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32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 A — Single Project</w:t>
            </w:r>
          </w:p>
        </w:tc>
        <w:tc>
          <w:tcPr>
            <w:tcW w:type="dxa" w:w="24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 B — Functional Split</w:t>
            </w:r>
          </w:p>
        </w:tc>
        <w:tc>
          <w:tcPr>
            <w:tcW w:type="dxa" w:w="2420"/>
            <w:tcBorders>
              <w:top w:val="single" w:color="1E5C3A" w:sz="4"/>
              <w:left w:val="single" w:color="1E5C3A" w:sz="4"/>
              <w:bottom w:val="single" w:color="1E5C3A" w:sz="4"/>
              <w:right w:val="single" w:color="1E5C3A" w:sz="4"/>
            </w:tcBorders>
            <w:shd w:fill="1E5C3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 C — Per-FI Projects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EF3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Per-FI cost attribution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Labels only (fragile)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Labels only (fragile)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E5C3A"/>
                <w:sz w:val="18"/>
                <w:szCs w:val="18"/>
              </w:rPr>
              <w:t xml:space="preserve">Native — by GCP project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Per-FI budget alerts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 (per-function only)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E5C3A"/>
                <w:sz w:val="18"/>
                <w:szCs w:val="18"/>
              </w:rPr>
              <w:t xml:space="preserve">Yes — per FI project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EF3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Capacity isolation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E5C3A"/>
                <w:sz w:val="18"/>
                <w:szCs w:val="18"/>
              </w:rPr>
              <w:t xml:space="preserve">Yes — quotas per project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IAM blast radius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Full project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Per-function project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E5C3A"/>
                <w:sz w:val="18"/>
                <w:szCs w:val="18"/>
              </w:rPr>
              <w:t xml:space="preserve">Per FI project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EF3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Compliance / audit scope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Filter all-tenant logs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Per-function project logs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E5C3A"/>
                <w:sz w:val="18"/>
                <w:szCs w:val="18"/>
              </w:rPr>
              <w:t xml:space="preserve">Per FI project logs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FI needs GCP account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E5C3A"/>
                <w:sz w:val="18"/>
                <w:szCs w:val="18"/>
              </w:rPr>
              <w:t xml:space="preserve">No — JHBI manages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EF3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Terraform complexity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E5C3A"/>
                <w:sz w:val="18"/>
                <w:szCs w:val="18"/>
              </w:rPr>
              <w:t xml:space="preserve">Medium-High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Onboarding automation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Manual OK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Scripted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E5C3A"/>
                <w:sz w:val="18"/>
                <w:szCs w:val="18"/>
              </w:rPr>
              <w:t xml:space="preserve">Terraform module required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EF3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Migration effort</w:t>
            </w:r>
          </w:p>
        </w:tc>
        <w:tc>
          <w:tcPr>
            <w:tcW w:type="dxa" w:w="2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— (current state)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Low — config change</w:t>
            </w:r>
          </w:p>
        </w:tc>
        <w:tc>
          <w:tcPr>
            <w:tcW w:type="dxa" w:w="2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E5C3A"/>
                <w:sz w:val="18"/>
                <w:szCs w:val="18"/>
              </w:rPr>
              <w:t xml:space="preserve">Medium — TF module per FI</w:t>
            </w:r>
          </w:p>
        </w:tc>
      </w:tr>
    </w:tbl>
    <w:p>
      <w:pPr>
        <w:spacing w:before="0" w:after="320"/>
      </w:pPr>
    </w:p>
    <w:p>
      <w:pPr>
        <w:pStyle w:val="Heading1"/>
        <w:pBdr>
          <w:bottom w:val="single" w:color="D6E4F0" w:sz="6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 Cost Attribution in Detail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Cost attribution has three components regardless of topology: compute (BigQuery query costs), storage, and API/serving costs. The mechanisms differ by option.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5.1  Compute Cost — Job Labels (Options A &amp; B)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Every BigQuery job executed by the API, portal, or Dataform pipeline must be labeled with </w:t>
      </w: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fi_id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. GCP Billing Export to BigQuery then enables per-FI monthly attribution:</w:t>
      </w:r>
    </w:p>
    <w:p>
      <w:pPr>
        <w:spacing w:before="0" w:after="60"/>
      </w:pPr>
    </w:p>
    <w:tbl>
      <w:tblPr>
        <w:tblW w:type="dxa" w:w="9360"/>
        <w:tblBorders>
          <w:top w:val="single" w:color="AAAAAA" w:sz="4"/>
          <w:left w:val="single" w:color="2E75B6" w:sz="12"/>
          <w:bottom w:val="single" w:color="AAAAAA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Enforce labels in application middleware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job_config = QueryJobConfig(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query_parameters=[ScalarQueryParameter('fi_id', 'STRING', fi_id)],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labels={'fi_id': fi_id, 'product': 'jhbi-portal', 'env': 'prod'}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Monthly compute cost per FI (GCP Billing Export query)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label.value AS fi_id, SUM(cost) AS compute_cost_usd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`billing_export.gcp_billing_export_v1_JHBI`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CROSS JOIN UNNEST(labels) AS label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 service.description = 'BigQuery'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  label.key = 'fi_id'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  invoice.month = '202602'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 BY fi_id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 BY compute_cost_usd DESC;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Label Enforcement Risk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Job labels are not enforced by default in GCP — any developer or misconfigured pipeline can run unlabeled BQ jobs. To address this, use a GCP Organization Policy (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constraints/bigquery.requireLabels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) or restrict BQ job execution to service accounts that always apply labels via a shared query-execution module.</w:t>
            </w:r>
          </w:p>
        </w:tc>
      </w:tr>
    </w:tbl>
    <w:p>
      <w:pPr>
        <w:spacing w:before="0" w:after="10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5.2  Compute Cost — Native Attribution (Option C)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In Option C, each FI's GCP project has its own billing line. No labels are required for project-level attribution. The GCP Billing Export query becomes trivial:</w:t>
      </w:r>
    </w:p>
    <w:p>
      <w:pPr>
        <w:spacing w:before="0" w:after="60"/>
      </w:pPr>
    </w:p>
    <w:tbl>
      <w:tblPr>
        <w:tblW w:type="dxa" w:w="9360"/>
        <w:tblBorders>
          <w:top w:val="single" w:color="AAAAAA" w:sz="4"/>
          <w:left w:val="single" w:color="2E75B6" w:sz="12"/>
          <w:bottom w:val="single" w:color="AAAAAA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Per-FI cost — no label filtering needed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project.id AS gcp_project, service.description, SUM(cost) AS cost_usd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  `billing_export.gcp_billing_export_v1_JHBI`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 project.id LIKE 'jhbi-fi-%'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AND  invoice.month = '202602'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 BY project.id, service.description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 BY cost_usd DESC;</w:t>
            </w:r>
          </w:p>
        </w:tc>
      </w:tr>
    </w:tbl>
    <w:p>
      <w:pPr>
        <w:spacing w:before="0" w:after="10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5.3  Storage Cost Attribution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For shared datasets (Options A/B), storage per FI is approximated by querying row distribution:</w:t>
      </w:r>
    </w:p>
    <w:p>
      <w:pPr>
        <w:spacing w:before="0" w:after="60"/>
      </w:pPr>
    </w:p>
    <w:tbl>
      <w:tblPr>
        <w:tblW w:type="dxa" w:w="9360"/>
        <w:tblBorders>
          <w:top w:val="single" w:color="AAAAAA" w:sz="4"/>
          <w:left w:val="single" w:color="2E75B6" w:sz="12"/>
          <w:bottom w:val="single" w:color="AAAAAA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Proportional storage attribution (Silver layer)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fi_id,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COUNT(*) AS row_count,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ROUND(COUNT(*) * 100.0 / SUM(COUNT(*)) OVER(), 2) AS pct_of_rows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jhbi_silver_payments.upt_transaction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DATE(initiated_at) BETWEEN '2026-02-01' AND '2026-02-28'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fi_id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row_count DESC;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Multiply pct_of_rows by total storage invoice line to get per-FI storage cost</w:t>
            </w:r>
          </w:p>
        </w:tc>
      </w:tr>
    </w:tbl>
    <w:p>
      <w:pPr>
        <w:spacing w:before="0" w:after="80"/>
      </w:pPr>
    </w:p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In Option C, each FI's Gold External dataset is in their project — storage cost is natively attributed with zero calculation required.</w:t>
      </w:r>
    </w:p>
    <w:p>
      <w:pPr>
        <w:spacing w:before="0" w:after="10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5.4  API Usage Metering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For usage-based billing, every API request should be logged to a metering table. This works identically across all three topology options:</w:t>
      </w:r>
    </w:p>
    <w:p>
      <w:pPr>
        <w:spacing w:before="0" w:after="60"/>
      </w:pPr>
    </w:p>
    <w:tbl>
      <w:tblPr>
        <w:tblW w:type="dxa" w:w="9360"/>
        <w:tblBorders>
          <w:top w:val="single" w:color="AAAAAA" w:sz="4"/>
          <w:left w:val="single" w:color="2E75B6" w:sz="12"/>
          <w:bottom w:val="single" w:color="AAAAAA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API metering table (Cloud Run → Pub/Sub → BigQuery Streaming Insert)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fi_id           STRING    -- from JWT OAuth claim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endpoint        STRING    -- /v1/payments/search, /v1/payments/{id}, etc.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rows_returned   INT64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bq_bytes_billed INT64    -- from QueryJob.total_bytes_billed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latency_ms      INT64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called_at       TIMESTAMP</w:t>
            </w:r>
          </w:p>
        </w:tc>
      </w:tr>
    </w:tbl>
    <w:p>
      <w:pPr>
        <w:spacing w:before="0" w:after="320"/>
      </w:pPr>
    </w:p>
    <w:p>
      <w:r>
        <w:br w:type="page"/>
      </w:r>
    </w:p>
    <w:p>
      <w:pPr>
        <w:pStyle w:val="Heading1"/>
        <w:pBdr>
          <w:bottom w:val="single" w:color="D6E4F0" w:sz="6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 Migration Path — Single Project to Per-FI Projects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The migration is designed to be incremental — JHBI can start with Option A today and promote individual FIs to dedicated projects as business requirements demand. No application code changes are required at any step.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Stage 1 — Option A: Single Project (Now)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What to do now to keep future options open: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Never hardcode project IDs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— use a config variable: BQ_PROJECT_ID, BQ_GOLD_EXTERNAL_DATASET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Route all BQ jobs through a shared query-execution module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— this is where fi_id labels are injected; change project targeting in one place later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Use fi_id as the partition/cluster key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on every table — required for both RLS and future per-FI data migration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Terraform everything from day one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— datasets, IAM, service accounts; the Terraform module becomes the FI onboarding script later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Enable GCP Billing Export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to BigQuery immediately — you need historical billing data for attribution even if you are not querying it yet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Stage 2 — Option B: Functional Project Split (3–6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Separate projects by function — low-risk, config-driven migration: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Create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jhbi-ingestion-prod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jhbi-datalake-prod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jhbi-serving-prod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jhbi-devops-prod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via Terraform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Move BigQuery datasets to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jhbi-datalake-prod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— update BQ_PROJECT_ID in API config; no SQL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Move Cloud Run services to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jhbi-serving-prod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; Gold External dataset follows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Run both old and new projects in parallel during cutover; switch FIs one at a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Each project gets its own budget alert — ingestion, data lake, and serving cost become independently visible</w:t>
            </w:r>
          </w:p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FIs experience zero downtime or change — they connect to the same API endpoint.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Stage 3 — Option C: Per-FI Projects (On Demand)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5C3A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Promote individual FIs to dedicated projects as needed: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Create a Terraform module: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module/jhbi-fi-tenant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with variables for fi_id, budget_usd, region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Module provisions: GCP project, Gold External BQ dataset, per-FI SA, budget alert, IAM bindings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Dataform pipeline gains a config variable: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GOLD_EXT_PROJECT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— per-FI or shared, resolved at runtime from a config table in BigQuery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Run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terraform apply -var fi_id=acme_bank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to onboard a new FI into their own project in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Existing FIs on the shared model are unaffected — they continue using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jhbi-serving-prod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until individually promoted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8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Offboarding: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terraform destroy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on the FI workspace — clean, auditable, complete</w:t>
            </w:r>
          </w:p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FIs still connect to the same API/portal endpoint — the per-project structure is entirely invisible to them.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The Config Variable That Makes This Work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single lookup table in BigQuery controls which project/dataset each FI's Gold External data lives in. The API resolves it at startup:</w:t>
      </w:r>
    </w:p>
    <w:p>
      <w:pPr>
        <w:spacing w:before="0" w:after="60"/>
      </w:pPr>
    </w:p>
    <w:tbl>
      <w:tblPr>
        <w:tblW w:type="dxa" w:w="9360"/>
        <w:tblBorders>
          <w:top w:val="single" w:color="AAAAAA" w:sz="4"/>
          <w:left w:val="single" w:color="2E75B6" w:sz="12"/>
          <w:bottom w:val="single" w:color="AAAAAA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jhbi-datalake-prod.jhbi_config.fi_routing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fi_id         STRING    -- 'acme_bank_001'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bq_project    STRING    -- 'jhbi-serving-prod'  OR  'jhbi-fi-acme-bank-prod'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bq_dataset    STRING    -- 'jhbi_gold_external' OR  'jhbi_gold_acme_bank'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tier          STRING    -- 'standard' | 'power_user' | 'enterprise'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active        BOOL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API middleware resolves routing at token validation time: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fi_config = SELECT bq_project, bq_dataset FROM fi_routing WHERE fi_id = @fi_id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bq_client = BigQueryClient(project=fi_config.bq_project)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220"/>
              <w:bottom w:type="dxa" w:w="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query runs against fi_config.bq_dataset -- no code change when FI is promoted</w:t>
            </w:r>
          </w:p>
        </w:tc>
      </w:tr>
    </w:tbl>
    <w:p>
      <w:pPr>
        <w:spacing w:before="0" w:after="320"/>
      </w:pPr>
    </w:p>
    <w:p>
      <w:r>
        <w:br w:type="page"/>
      </w:r>
    </w:p>
    <w:p>
      <w:pPr>
        <w:pStyle w:val="Heading1"/>
        <w:pBdr>
          <w:bottom w:val="single" w:color="D6E4F0" w:sz="6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7. Data Isolation Mechanisms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Data isolation operates at three independent layers. Isolation does not depend on project topology — it applies across all three options and acts as defence-in-depth.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80"/>
        <w:gridCol w:w="2680"/>
      </w:tblGrid>
      <w:tr>
        <w:trPr>
          <w:tblHeader/>
        </w:trPr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2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Applies In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EF3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fi_id injection from OAuth JWT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API extracts fi_id from validated token; binds as query parameter. FI never writes SQL. No fi_id in token = query rejected.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All options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EF3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BigQuery Row-Level Security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Row Access Policy enforces fi_id = SESSION_USER() on shared tables. Enforced by BigQuery before any user logic. Cannot be bypassed by application code.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Options A &amp; B (shared datasets)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EEF3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Per-FI GCP project + IAM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Each FI's data lives in a separate GCP project. IAM prevents cross-project access architecturally. No row filter required.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Option C only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Defence-in-Depth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Options A and B use application-layer + database-layer isolation (JWT fi_id + RLS). Option C adds infrastructure-layer isolation on top of those two. All three options maintain the same application-level isolation — moving to Option C improves compliance posture and cost attribution but does not fundamentally change the security model.</w:t>
            </w:r>
          </w:p>
        </w:tc>
      </w:tr>
    </w:tbl>
    <w:p>
      <w:pPr>
        <w:spacing w:before="0" w:after="320"/>
      </w:pPr>
    </w:p>
    <w:p>
      <w:pPr>
        <w:pStyle w:val="Heading1"/>
        <w:pBdr>
          <w:bottom w:val="single" w:color="D6E4F0" w:sz="6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 Recommendation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 to Move 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E6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Now</w:t>
            </w: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  (Option A)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Stay in single project. Immediately implement: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0" w:after="8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Config-driven BQ_PROJECT_ID and DATASET_ID throughout codebase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0" w:after="8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Shared query-execution module with mandatory fi_id label injection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0" w:after="8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Enable GCP Billing Export to BigQuery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0" w:after="8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fi_id partition + cluster on all tables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First paying FI, or cost attribution is needed for internal reporting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3–6 months</w:t>
            </w: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  (Option B)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Functional project split: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0" w:after="8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jhbi-ingestion-prod, jhbi-datalake-prod, jhbi-serving-prod, jhbi-devops-prod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0" w:after="8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Migrate via config variable changes only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0" w:after="8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Per-project budget alerts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Any enterprise FI onboarding, SOC 2 audit, or data residency requirement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C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5C3A"/>
                <w:sz w:val="18"/>
                <w:szCs w:val="18"/>
              </w:rPr>
              <w:t xml:space="preserve">On demand</w:t>
            </w: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  (Option C)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Per-FI Terraform module. Promote FIs individually: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0" w:after="8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module/jhbi-fi-tenant provisions project, dataset, SA, budget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0" w:after="8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fi_routing config table directs API to correct project per FI</w:t>
            </w:r>
          </w:p>
          <w:p>
            <w:pPr>
              <w:pStyle w:val="ListParagraph"/>
              <w:numPr>
                <w:ilvl w:val="1"/>
                <w:numId w:val="2"/>
              </w:numPr>
              <w:spacing w:before="0" w:after="80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Existing FIs unaffected until promoted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before="0" w:after="120"/>
              <w:jc w:val="left"/>
            </w:pPr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Triggered per FI by: contract data residency clause, enterprise security review, or FI reaching volume tier threshold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5C3A" w:sz="24"/>
              <w:bottom w:val="none" w:color="FFFFFF" w:sz="0"/>
              <w:right w:val="none" w:color="FFFFFF" w:sz="0"/>
            </w:tcBorders>
            <w:shd w:fill="E8F5E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1E5C3A"/>
                <w:sz w:val="20"/>
                <w:szCs w:val="20"/>
              </w:rPr>
              <w:t xml:space="preserve">Key Principle — Options Stay Open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If JHBI builds today with config-driven project and dataset references, the move from Option A → B → C requires zero application code changes. It is purely a Terraform and configuration change. This is the single most important design decision to make right now.</w:t>
            </w:r>
          </w:p>
        </w:tc>
      </w:tr>
    </w:tbl>
    <w:p>
      <w:pPr>
        <w:spacing w:before="0" w:after="8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4"/>
      </w:pBdr>
      <w:tabs>
        <w:tab w:val="right" w:pos="9360"/>
      </w:tabs>
      <w:spacing w:before="0"/>
    </w:pPr>
    <w:r>
      <w:rPr>
        <w:rFonts w:ascii="Calibri" w:cs="Calibri" w:eastAsia="Calibri" w:hAnsi="Calibri"/>
        <w:color w:val="666666"/>
        <w:sz w:val="16"/>
        <w:szCs w:val="16"/>
      </w:rPr>
      <w:t xml:space="preserve">Jack Henry Business Intelligence  |  GCP Data as a Service Architecture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4"/>
      </w:pBdr>
      <w:tabs>
        <w:tab w:val="right" w:pos="9360"/>
      </w:tabs>
      <w:spacing w:after="0"/>
    </w:pPr>
    <w:r>
      <w:rPr>
        <w:rFonts w:ascii="Calibri" w:cs="Calibri" w:eastAsia="Calibri" w:hAnsi="Calibri"/>
        <w:b/>
        <w:bCs/>
        <w:color w:val="2E75B6"/>
        <w:sz w:val="16"/>
        <w:szCs w:val="16"/>
      </w:rPr>
      <w:t xml:space="preserve">JHBI — GCP Tenancy &amp; Cost Model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66666"/>
        <w:sz w:val="16"/>
        <w:szCs w:val="16"/>
      </w:rPr>
      <w:t xml:space="preserve">Confidential  |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  <w:lvl w:ilvl="2" w15:tentative="1">
      <w:start w:val="1"/>
      <w:numFmt w:val="bullet"/>
      <w:lvlText w:val="▪"/>
      <w:lvlJc w:val="left"/>
      <w:pPr>
        <w:ind w:left="1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1F4E79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2E75B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2026-02-24T18:33:26.629Z</dcterms:created>
  <dcterms:modified xsi:type="dcterms:W3CDTF">2026-02-24T18:33:26.629Z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