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2E75B6" w:sz="24"/>
              <w:bottom w:val="none"/>
              <w:right w:val="none"/>
            </w:tcBorders>
            <w:shd w:fill="EAF2FA" w:val="clear"/>
            <w:tcMar>
              <w:top w:type="dxa" w:w="200"/>
              <w:left w:type="dxa" w:w="300"/>
              <w:bottom w:type="dxa" w:w="200"/>
              <w:right w:type="dxa" w:w="300"/>
            </w:tcMar>
          </w:tcPr>
          <w:p>
            <w:pPr>
              <w:spacing w:before="0" w:after="80"/>
            </w:pPr>
            <w:r>
              <w:rPr>
                <w:rFonts w:ascii="Calibri" w:cs="Calibri" w:eastAsia="Calibri" w:hAnsi="Calibri"/>
                <w:b/>
                <w:bCs/>
                <w:color w:val="1F4E79"/>
                <w:sz w:val="40"/>
                <w:szCs w:val="40"/>
              </w:rPr>
              <w:t xml:space="preserve">JHBI Data as a Service</w:t>
            </w:r>
          </w:p>
          <w:p>
            <w:pPr>
              <w:spacing w:before="0" w:after="80"/>
            </w:pPr>
            <w:r>
              <w:rPr>
                <w:rFonts w:ascii="Calibri" w:cs="Calibri" w:eastAsia="Calibri" w:hAnsi="Calibri"/>
                <w:b/>
                <w:bCs/>
                <w:color w:val="2E75B6"/>
                <w:sz w:val="32"/>
                <w:szCs w:val="32"/>
              </w:rPr>
              <w:t xml:space="preserve">Multi-Tenant Data Architecture</w:t>
            </w:r>
          </w:p>
          <w:p>
            <w:pPr>
              <w:spacing w:before="0" w:after="0"/>
            </w:pPr>
            <w:r>
              <w:rPr>
                <w:rFonts w:ascii="Calibri" w:cs="Calibri" w:eastAsia="Calibri" w:hAnsi="Calibri"/>
                <w:color w:val="666666"/>
                <w:sz w:val="20"/>
                <w:szCs w:val="20"/>
              </w:rPr>
              <w:t xml:space="preserve">Tenancy Model  ·  Data Isolation  ·  Cost Attribution  ·  Access Patterns</w:t>
            </w:r>
          </w:p>
        </w:tc>
      </w:tr>
    </w:tbl>
    <w:p>
      <w:pPr>
        <w:spacing w:before="0" w:after="200"/>
      </w:pPr>
    </w:p>
    <w:p>
      <w:pPr>
        <w:pStyle w:val="Heading1"/>
        <w:pBdr>
          <w:bottom w:val="single" w:color="D6E4F0" w:sz="6" w:space="4"/>
        </w:pBdr>
        <w:spacing w:before="320" w:after="160"/>
      </w:pPr>
      <w:r>
        <w:rPr>
          <w:rFonts w:ascii="Calibri" w:cs="Calibri" w:eastAsia="Calibri" w:hAnsi="Calibri"/>
          <w:b/>
          <w:bCs/>
          <w:color w:val="2E75B6"/>
          <w:sz w:val="26"/>
          <w:szCs w:val="26"/>
        </w:rPr>
        <w:t xml:space="preserve">1. The Layer Model</w:t>
      </w:r>
    </w:p>
    <w:p>
      <w:pPr>
        <w:spacing w:before="0" w:after="120"/>
        <w:jc w:val="left"/>
      </w:pPr>
      <w:r>
        <w:rPr>
          <w:rFonts w:ascii="Calibri" w:cs="Calibri" w:eastAsia="Calibri" w:hAnsi="Calibri"/>
          <w:color w:val="1A1A2E"/>
          <w:sz w:val="20"/>
          <w:szCs w:val="20"/>
        </w:rPr>
        <w:t xml:space="preserve">JHBI's data platform is organized into four layers, each with a distinct purpose and tenancy characteristic. All payment source data from across participating financial institutions lands in a shared raw layer, flows through a unified schema in Silver, and fans out into purpose-built tables in Gold for both internal JH analytics and external FI consumption.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2200"/>
        <w:gridCol w:w="1800"/>
      </w:tblGrid>
      <w:tr>
        <w:trPr>
          <w:tblHeader/>
        </w:trPr>
        <w:tc>
          <w:tcPr>
            <w:tcW w:type="dxa" w:w="1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Layer</w:t>
            </w:r>
          </w:p>
        </w:tc>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Dataset / Tables</w:t>
            </w:r>
          </w:p>
        </w:tc>
        <w:tc>
          <w:tcPr>
            <w:tcW w:type="dxa" w:w="21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Purpose</w:t>
            </w:r>
          </w:p>
        </w:tc>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Tenancy Model</w:t>
            </w:r>
          </w:p>
        </w:tc>
        <w:tc>
          <w:tcPr>
            <w:tcW w:type="dxa" w:w="18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User Access</w:t>
            </w:r>
          </w:p>
        </w:tc>
      </w:tr>
      <w:tr>
        <w:tc>
          <w:tcPr>
            <w:tcW w:type="dxa" w:w="1200"/>
            <w:tcBorders>
              <w:top w:val="single" w:color="CCCCCC" w:sz="4"/>
              <w:left w:val="single" w:color="CCCCCC" w:sz="4"/>
              <w:bottom w:val="single" w:color="CCCCCC" w:sz="4"/>
              <w:right w:val="single" w:color="CCCCCC" w:sz="4"/>
            </w:tcBorders>
            <w:shd w:fill="FDF0E6" w:val="clear"/>
            <w:tcMar>
              <w:top w:type="dxa" w:w="80"/>
              <w:left w:type="dxa" w:w="140"/>
              <w:bottom w:type="dxa" w:w="80"/>
              <w:right w:type="dxa" w:w="140"/>
            </w:tcMar>
            <w:vAlign w:val="top"/>
          </w:tcPr>
          <w:p>
            <w:pPr>
              <w:spacing w:before="0" w:after="120"/>
              <w:jc w:val="left"/>
            </w:pPr>
            <w:r>
              <w:rPr>
                <w:rFonts w:ascii="Calibri" w:cs="Calibri" w:eastAsia="Calibri" w:hAnsi="Calibri"/>
                <w:b/>
                <w:bCs/>
                <w:color w:val="7B3F00"/>
                <w:sz w:val="18"/>
                <w:szCs w:val="18"/>
              </w:rPr>
              <w:t xml:space="preserve">Bronze</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jhbi_bronze_{source}</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Raw CDC events from all source systems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Shared, fi_id on every row, partitioned by fi_id + date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Pipeline SAs only</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before="0" w:after="120"/>
              <w:jc w:val="left"/>
            </w:pPr>
            <w:r>
              <w:rPr>
                <w:rFonts w:ascii="Calibri" w:cs="Calibri" w:eastAsia="Calibri" w:hAnsi="Calibri"/>
                <w:b/>
                <w:bCs/>
                <w:color w:val="404040"/>
                <w:sz w:val="18"/>
                <w:szCs w:val="18"/>
              </w:rPr>
              <w:t xml:space="preserve">Silver</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jhbi_silver_payments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Unified schema across all rails and FIs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Shared + BigQuery Row-Level Security (fi_id claim)</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JH engineers, compliance</w:t>
            </w:r>
          </w:p>
        </w:tc>
      </w:tr>
      <w:tr>
        <w:tc>
          <w:tcPr>
            <w:tcW w:type="dxa" w:w="1200"/>
            <w:tcBorders>
              <w:top w:val="single" w:color="CCCCCC" w:sz="4"/>
              <w:left w:val="single" w:color="CCCCCC" w:sz="4"/>
              <w:bottom w:val="single" w:color="CCCCCC" w:sz="4"/>
              <w:right w:val="single" w:color="CCCCCC" w:sz="4"/>
            </w:tcBorders>
            <w:shd w:fill="FFFBE6" w:val="clear"/>
            <w:tcMar>
              <w:top w:type="dxa" w:w="80"/>
              <w:left w:type="dxa" w:w="140"/>
              <w:bottom w:type="dxa" w:w="80"/>
              <w:right w:type="dxa" w:w="140"/>
            </w:tcMar>
            <w:vAlign w:val="top"/>
          </w:tcPr>
          <w:p>
            <w:pPr>
              <w:spacing w:before="0" w:after="120"/>
              <w:jc w:val="left"/>
            </w:pPr>
            <w:r>
              <w:rPr>
                <w:rFonts w:ascii="Calibri" w:cs="Calibri" w:eastAsia="Calibri" w:hAnsi="Calibri"/>
                <w:b/>
                <w:bCs/>
                <w:color w:val="7B5E00"/>
                <w:sz w:val="18"/>
                <w:szCs w:val="18"/>
              </w:rPr>
              <w:t xml:space="preserve">Gold Internal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jhbi_gold_internal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Star schema for JH cross-FI analytics and data science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Shared + RLS + Authorized Views; no raw per-FI row exposure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JH analysts, Looker, Vertex AI</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0" w:after="120"/>
              <w:jc w:val="left"/>
            </w:pPr>
            <w:r>
              <w:rPr>
                <w:rFonts w:ascii="Calibri" w:cs="Calibri" w:eastAsia="Calibri" w:hAnsi="Calibri"/>
                <w:b/>
                <w:bCs/>
                <w:color w:val="2E75B6"/>
                <w:sz w:val="18"/>
                <w:szCs w:val="18"/>
              </w:rPr>
              <w:t xml:space="preserve">Gold External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jhbi_gold_external</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FI-facing consumption tables — portal, API, BI tools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Shared dataset with per-FI row filter enforced by API/portal layer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FI users (via portal/API)</w:t>
            </w:r>
          </w:p>
        </w:tc>
      </w:tr>
    </w:tbl>
    <w:p>
      <w:pPr>
        <w:spacing w:before="0" w:after="160"/>
      </w:pPr>
    </w:p>
    <w:p>
      <w:pPr>
        <w:pStyle w:val="Heading1"/>
        <w:pBdr>
          <w:bottom w:val="single" w:color="D6E4F0" w:sz="6" w:space="4"/>
        </w:pBdr>
        <w:spacing w:before="320" w:after="160"/>
      </w:pPr>
      <w:r>
        <w:rPr>
          <w:rFonts w:ascii="Calibri" w:cs="Calibri" w:eastAsia="Calibri" w:hAnsi="Calibri"/>
          <w:b/>
          <w:bCs/>
          <w:color w:val="2E75B6"/>
          <w:sz w:val="26"/>
          <w:szCs w:val="26"/>
        </w:rPr>
        <w:t xml:space="preserve">2. The Unified Silver Table</w:t>
      </w:r>
    </w:p>
    <w:p>
      <w:pPr>
        <w:spacing w:before="0" w:after="120"/>
        <w:jc w:val="left"/>
      </w:pPr>
      <w:r>
        <w:rPr>
          <w:rFonts w:ascii="Calibri" w:cs="Calibri" w:eastAsia="Calibri" w:hAnsi="Calibri"/>
          <w:color w:val="1A1A2E"/>
          <w:sz w:val="20"/>
          <w:szCs w:val="20"/>
        </w:rPr>
        <w:t xml:space="preserve">The Silver layer collapses all payment source systems into a single table: </w:t>
      </w:r>
      <w:r>
        <w:rPr>
          <w:rFonts w:ascii="Calibri" w:cs="Calibri" w:eastAsia="Calibri" w:hAnsi="Calibri"/>
          <w:b/>
          <w:bCs/>
          <w:color w:val="1A1A2E"/>
          <w:sz w:val="22"/>
          <w:szCs w:val="22"/>
        </w:rPr>
        <w:t xml:space="preserve">upt_transaction</w:t>
      </w:r>
      <w:r>
        <w:rPr>
          <w:rFonts w:ascii="Calibri" w:cs="Calibri" w:eastAsia="Calibri" w:hAnsi="Calibri"/>
          <w:color w:val="1A1A2E"/>
          <w:sz w:val="20"/>
          <w:szCs w:val="20"/>
        </w:rPr>
        <w:t xml:space="preserve">. The core schema covers fields that are universal across all payment rails (amount, direction, entities, timestamps, status). Rail-specific metadata — FedNow UETR, ACH SEC code and addenda, wire IMAD — is stored in a </w:t>
      </w:r>
      <w:r>
        <w:rPr>
          <w:rFonts w:ascii="Calibri" w:cs="Calibri" w:eastAsia="Calibri" w:hAnsi="Calibri"/>
          <w:b/>
          <w:bCs/>
          <w:color w:val="1A1A2E"/>
          <w:sz w:val="22"/>
          <w:szCs w:val="22"/>
        </w:rPr>
        <w:t xml:space="preserve">rail_ext</w:t>
      </w:r>
      <w:r>
        <w:rPr>
          <w:rFonts w:ascii="Calibri" w:cs="Calibri" w:eastAsia="Calibri" w:hAnsi="Calibri"/>
          <w:color w:val="1A1A2E"/>
          <w:sz w:val="20"/>
          <w:szCs w:val="20"/>
        </w:rPr>
        <w:t xml:space="preserve"> JSON extension column, keeping the core schema stable as new rails are added.</w:t>
      </w:r>
    </w:p>
    <w:p>
      <w:pPr>
        <w:spacing w:before="0" w:after="8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jhbi_silver_payments.upt_transaction</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fi_id            STRING    -- tenant key, on every row</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payment_id       STRING    -- JHBI surrogate 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payment_rail     STRING    -- ACH | FedNow | RTP | Wire | BillPay</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payment_type     STRING    -- CREDIT_PUSH | DEBIT_PULL | REQUEST_PAY</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direction        STRING    -- DEBIT | CREDIT</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amount           NUMERIC</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currency         STRING</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entity_cust_id   STRING    -- resolved via Spanner MDM</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entity_acct_id   STRING    -- resolved via Spanner MDM</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initiated_at     TIMESTAMP</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settled_at       TIMESTAMP</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status           STRING</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rail_ext         JSON      -- rail-specific fields (UETR, SEC code, etc.)</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PARTITION BY DATE(initiated_at)</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CLUSTER BY fi_id, payment_rail, payment_type</w:t>
            </w:r>
          </w:p>
        </w:tc>
      </w:tr>
    </w:tbl>
    <w:p>
      <w:pPr>
        <w:spacing w:before="0" w:after="120"/>
      </w:pPr>
    </w:p>
    <w:p>
      <w:pPr>
        <w:spacing w:before="0" w:after="120"/>
        <w:jc w:val="left"/>
      </w:pPr>
      <w:r>
        <w:rPr>
          <w:rFonts w:ascii="Calibri" w:cs="Calibri" w:eastAsia="Calibri" w:hAnsi="Calibri"/>
          <w:color w:val="1A1A2E"/>
          <w:sz w:val="20"/>
          <w:szCs w:val="20"/>
        </w:rPr>
        <w:t xml:space="preserve">Clustering on </w:t>
      </w:r>
      <w:r>
        <w:rPr>
          <w:rFonts w:ascii="Calibri" w:cs="Calibri" w:eastAsia="Calibri" w:hAnsi="Calibri"/>
          <w:b/>
          <w:bCs/>
          <w:color w:val="1A1A2E"/>
          <w:sz w:val="22"/>
          <w:szCs w:val="22"/>
        </w:rPr>
        <w:t xml:space="preserve">(fi_id, payment_rail, payment_type)</w:t>
      </w:r>
      <w:r>
        <w:rPr>
          <w:rFonts w:ascii="Calibri" w:cs="Calibri" w:eastAsia="Calibri" w:hAnsi="Calibri"/>
          <w:color w:val="1A1A2E"/>
          <w:sz w:val="20"/>
          <w:szCs w:val="20"/>
        </w:rPr>
        <w:t xml:space="preserve"> means per-FI, per-rail queries skip the vast majority of stored data — this is the primary cost control mechanism at the Silver layer.</w:t>
      </w:r>
    </w:p>
    <w:p>
      <w:pPr>
        <w:spacing w:before="0" w:after="80"/>
      </w:pPr>
    </w:p>
    <w:p>
      <w:pPr>
        <w:pStyle w:val="Heading1"/>
        <w:pBdr>
          <w:bottom w:val="single" w:color="D6E4F0" w:sz="6" w:space="4"/>
        </w:pBdr>
        <w:spacing w:before="320" w:after="160"/>
      </w:pPr>
      <w:r>
        <w:rPr>
          <w:rFonts w:ascii="Calibri" w:cs="Calibri" w:eastAsia="Calibri" w:hAnsi="Calibri"/>
          <w:b/>
          <w:bCs/>
          <w:color w:val="2E75B6"/>
          <w:sz w:val="26"/>
          <w:szCs w:val="26"/>
        </w:rPr>
        <w:t xml:space="preserve">3. Gold Layer Table Structure</w:t>
      </w:r>
    </w:p>
    <w:p>
      <w:pPr>
        <w:spacing w:before="0" w:after="120"/>
        <w:jc w:val="left"/>
      </w:pPr>
      <w:r>
        <w:rPr>
          <w:rFonts w:ascii="Calibri" w:cs="Calibri" w:eastAsia="Calibri" w:hAnsi="Calibri"/>
          <w:color w:val="1A1A2E"/>
          <w:sz w:val="20"/>
          <w:szCs w:val="20"/>
        </w:rPr>
        <w:t xml:space="preserve">Gold fans out from Silver into two categories of tables: a unified view for easy money-movement queries, and rail-specific tables for deep-dive analytics. Both exist in Internal and External flavors.</w:t>
      </w:r>
    </w:p>
    <w:p>
      <w:pPr>
        <w:spacing w:before="0" w:after="80"/>
      </w:pPr>
    </w:p>
    <w:p>
      <w:pPr>
        <w:pStyle w:val="Heading2"/>
        <w:spacing w:before="240" w:after="120"/>
      </w:pPr>
      <w:r>
        <w:rPr>
          <w:rFonts w:ascii="Calibri" w:cs="Calibri" w:eastAsia="Calibri" w:hAnsi="Calibri"/>
          <w:b/>
          <w:bCs/>
          <w:color w:val="1F4E79"/>
          <w:sz w:val="22"/>
          <w:szCs w:val="22"/>
        </w:rPr>
        <w:t xml:space="preserve">3.1  Unified Payments Table</w:t>
      </w:r>
    </w:p>
    <w:p>
      <w:pPr>
        <w:spacing w:before="0" w:after="120"/>
        <w:jc w:val="left"/>
      </w:pPr>
      <w:r>
        <w:rPr>
          <w:rFonts w:ascii="Calibri" w:cs="Calibri" w:eastAsia="Calibri" w:hAnsi="Calibri"/>
          <w:color w:val="1A1A2E"/>
          <w:sz w:val="20"/>
          <w:szCs w:val="20"/>
        </w:rPr>
        <w:t xml:space="preserve">A simplified, wide table covering all rails. Designed for queries like 'show me all money movement for a customer' or 'total outflows by FI this month' without needing to join across rail tables.</w:t>
      </w:r>
    </w:p>
    <w:p>
      <w:pPr>
        <w:pStyle w:val="ListParagraph"/>
        <w:numPr>
          <w:ilvl w:val="0"/>
          <w:numId w:val="2"/>
        </w:numPr>
        <w:spacing w:before="0" w:after="80"/>
      </w:pPr>
      <w:r>
        <w:rPr>
          <w:rFonts w:ascii="Calibri" w:cs="Calibri" w:eastAsia="Calibri" w:hAnsi="Calibri"/>
          <w:b/>
          <w:bCs/>
          <w:color w:val="1A1A2E"/>
          <w:sz w:val="22"/>
          <w:szCs w:val="22"/>
        </w:rPr>
        <w:t xml:space="preserve">fact_payments_unified</w:t>
      </w:r>
      <w:r>
        <w:rPr>
          <w:rFonts w:ascii="Calibri" w:cs="Calibri" w:eastAsia="Calibri" w:hAnsi="Calibri"/>
          <w:color w:val="1A1A2E"/>
          <w:sz w:val="20"/>
          <w:szCs w:val="20"/>
        </w:rPr>
        <w:t xml:space="preserve"> — all rails, all types, common fields only</w:t>
      </w:r>
    </w:p>
    <w:p>
      <w:pPr>
        <w:pStyle w:val="ListParagraph"/>
        <w:numPr>
          <w:ilvl w:val="0"/>
          <w:numId w:val="2"/>
        </w:numPr>
        <w:spacing w:before="0" w:after="80"/>
      </w:pPr>
      <w:r>
        <w:rPr>
          <w:rFonts w:ascii="Calibri" w:cs="Calibri" w:eastAsia="Calibri" w:hAnsi="Calibri"/>
          <w:color w:val="1A1A2E"/>
          <w:sz w:val="20"/>
          <w:szCs w:val="20"/>
        </w:rPr>
        <w:t xml:space="preserve">Ideal for: portal dashboards, executive summaries, fraud pattern queries across rails</w:t>
      </w:r>
    </w:p>
    <w:p>
      <w:pPr>
        <w:spacing w:before="0" w:after="80"/>
      </w:pPr>
    </w:p>
    <w:p>
      <w:pPr>
        <w:pStyle w:val="Heading2"/>
        <w:spacing w:before="240" w:after="120"/>
      </w:pPr>
      <w:r>
        <w:rPr>
          <w:rFonts w:ascii="Calibri" w:cs="Calibri" w:eastAsia="Calibri" w:hAnsi="Calibri"/>
          <w:b/>
          <w:bCs/>
          <w:color w:val="1F4E79"/>
          <w:sz w:val="22"/>
          <w:szCs w:val="22"/>
        </w:rPr>
        <w:t xml:space="preserve">3.2  Rail-Specific Tables</w:t>
      </w:r>
    </w:p>
    <w:p>
      <w:pPr>
        <w:spacing w:before="0" w:after="120"/>
        <w:jc w:val="left"/>
      </w:pPr>
      <w:r>
        <w:rPr>
          <w:rFonts w:ascii="Calibri" w:cs="Calibri" w:eastAsia="Calibri" w:hAnsi="Calibri"/>
          <w:color w:val="1A1A2E"/>
          <w:sz w:val="20"/>
          <w:szCs w:val="20"/>
        </w:rPr>
        <w:t xml:space="preserve">Each table includes the full rail_ext fields promoted to typed columns for performance and usability:</w:t>
      </w:r>
    </w:p>
    <w:p>
      <w:pPr>
        <w:pStyle w:val="ListParagraph"/>
        <w:numPr>
          <w:ilvl w:val="0"/>
          <w:numId w:val="2"/>
        </w:numPr>
        <w:spacing w:before="0" w:after="80"/>
      </w:pPr>
      <w:r>
        <w:rPr>
          <w:rFonts w:ascii="Calibri" w:cs="Calibri" w:eastAsia="Calibri" w:hAnsi="Calibri"/>
          <w:b/>
          <w:bCs/>
          <w:color w:val="1A1A2E"/>
          <w:sz w:val="22"/>
          <w:szCs w:val="22"/>
        </w:rPr>
        <w:t xml:space="preserve">fact_payments_ach</w:t>
      </w:r>
      <w:r>
        <w:rPr>
          <w:rFonts w:ascii="Calibri" w:cs="Calibri" w:eastAsia="Calibri" w:hAnsi="Calibri"/>
          <w:color w:val="1A1A2E"/>
          <w:sz w:val="20"/>
          <w:szCs w:val="20"/>
        </w:rPr>
        <w:t xml:space="preserve"> — SEC code, addenda records, return reason codes</w:t>
      </w:r>
    </w:p>
    <w:p>
      <w:pPr>
        <w:pStyle w:val="ListParagraph"/>
        <w:numPr>
          <w:ilvl w:val="0"/>
          <w:numId w:val="2"/>
        </w:numPr>
        <w:spacing w:before="0" w:after="80"/>
      </w:pPr>
      <w:r>
        <w:rPr>
          <w:rFonts w:ascii="Calibri" w:cs="Calibri" w:eastAsia="Calibri" w:hAnsi="Calibri"/>
          <w:b/>
          <w:bCs/>
          <w:color w:val="1A1A2E"/>
          <w:sz w:val="22"/>
          <w:szCs w:val="22"/>
        </w:rPr>
        <w:t xml:space="preserve">fact_payments_fednow</w:t>
      </w:r>
      <w:r>
        <w:rPr>
          <w:rFonts w:ascii="Calibri" w:cs="Calibri" w:eastAsia="Calibri" w:hAnsi="Calibri"/>
          <w:color w:val="1A1A2E"/>
          <w:sz w:val="20"/>
          <w:szCs w:val="20"/>
        </w:rPr>
        <w:t xml:space="preserve"> — UETR, end-to-end ID, ISO 20022 message details</w:t>
      </w:r>
    </w:p>
    <w:p>
      <w:pPr>
        <w:pStyle w:val="ListParagraph"/>
        <w:numPr>
          <w:ilvl w:val="0"/>
          <w:numId w:val="2"/>
        </w:numPr>
        <w:spacing w:before="0" w:after="80"/>
      </w:pPr>
      <w:r>
        <w:rPr>
          <w:rFonts w:ascii="Calibri" w:cs="Calibri" w:eastAsia="Calibri" w:hAnsi="Calibri"/>
          <w:b/>
          <w:bCs/>
          <w:color w:val="1A1A2E"/>
          <w:sz w:val="22"/>
          <w:szCs w:val="22"/>
        </w:rPr>
        <w:t xml:space="preserve">fact_payments_rtp</w:t>
      </w:r>
      <w:r>
        <w:rPr>
          <w:rFonts w:ascii="Calibri" w:cs="Calibri" w:eastAsia="Calibri" w:hAnsi="Calibri"/>
          <w:color w:val="1A1A2E"/>
          <w:sz w:val="20"/>
          <w:szCs w:val="20"/>
        </w:rPr>
        <w:t xml:space="preserve"> — RTP network identifiers, request-for-payment linkage</w:t>
      </w:r>
    </w:p>
    <w:p>
      <w:pPr>
        <w:pStyle w:val="ListParagraph"/>
        <w:numPr>
          <w:ilvl w:val="0"/>
          <w:numId w:val="2"/>
        </w:numPr>
        <w:spacing w:before="0" w:after="80"/>
      </w:pPr>
      <w:r>
        <w:rPr>
          <w:rFonts w:ascii="Calibri" w:cs="Calibri" w:eastAsia="Calibri" w:hAnsi="Calibri"/>
          <w:b/>
          <w:bCs/>
          <w:color w:val="1A1A2E"/>
          <w:sz w:val="22"/>
          <w:szCs w:val="22"/>
        </w:rPr>
        <w:t xml:space="preserve">fact_payments_wire</w:t>
      </w:r>
      <w:r>
        <w:rPr>
          <w:rFonts w:ascii="Calibri" w:cs="Calibri" w:eastAsia="Calibri" w:hAnsi="Calibri"/>
          <w:color w:val="1A1A2E"/>
          <w:sz w:val="20"/>
          <w:szCs w:val="20"/>
        </w:rPr>
        <w:t xml:space="preserve"> — IMAD/OMAD, correspondent bank, SWIFT fields</w:t>
      </w:r>
    </w:p>
    <w:p>
      <w:pPr>
        <w:pStyle w:val="ListParagraph"/>
        <w:numPr>
          <w:ilvl w:val="0"/>
          <w:numId w:val="2"/>
        </w:numPr>
        <w:spacing w:before="0" w:after="80"/>
      </w:pPr>
      <w:r>
        <w:rPr>
          <w:rFonts w:ascii="Calibri" w:cs="Calibri" w:eastAsia="Calibri" w:hAnsi="Calibri"/>
          <w:b/>
          <w:bCs/>
          <w:color w:val="1A1A2E"/>
          <w:sz w:val="22"/>
          <w:szCs w:val="22"/>
        </w:rPr>
        <w:t xml:space="preserve">fact_payments_billpay</w:t>
      </w:r>
      <w:r>
        <w:rPr>
          <w:rFonts w:ascii="Calibri" w:cs="Calibri" w:eastAsia="Calibri" w:hAnsi="Calibri"/>
          <w:color w:val="1A1A2E"/>
          <w:sz w:val="20"/>
          <w:szCs w:val="20"/>
        </w:rPr>
        <w:t xml:space="preserve"> — biller ID, memo line, convenience fee</w:t>
      </w:r>
    </w:p>
    <w:p>
      <w:pPr>
        <w:spacing w:before="0" w:after="80"/>
      </w:pPr>
    </w:p>
    <w:p>
      <w:pPr>
        <w:pStyle w:val="Heading2"/>
        <w:spacing w:before="240" w:after="120"/>
      </w:pPr>
      <w:r>
        <w:rPr>
          <w:rFonts w:ascii="Calibri" w:cs="Calibri" w:eastAsia="Calibri" w:hAnsi="Calibri"/>
          <w:b/>
          <w:bCs/>
          <w:color w:val="1F4E79"/>
          <w:sz w:val="22"/>
          <w:szCs w:val="22"/>
        </w:rPr>
        <w:t xml:space="preserve">3.3  Internal vs.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
            </w:r>
          </w:p>
        </w:tc>
        <w:tc>
          <w:tcPr>
            <w:tcW w:type="dxa" w:w="38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Gold Internal  (jhbi_gold_internal)</w:t>
            </w:r>
          </w:p>
        </w:tc>
        <w:tc>
          <w:tcPr>
            <w:tcW w:type="dxa" w:w="38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Gold External  (jhbi_gold_external)</w:t>
            </w:r>
          </w:p>
        </w:tc>
      </w:tr>
      <w:tr>
        <w:tc>
          <w:tcPr>
            <w:tcW w:type="dxa" w:w="1600"/>
            <w:tcBorders>
              <w:top w:val="single" w:color="CCCCCC" w:sz="4"/>
              <w:left w:val="single" w:color="CCCCCC" w:sz="4"/>
              <w:bottom w:val="single" w:color="CCCCCC" w:sz="4"/>
              <w:right w:val="single" w:color="CCCCCC" w:sz="4"/>
            </w:tcBorders>
            <w:shd w:fill="E9EEF3" w:val="clear"/>
            <w:tcMar>
              <w:top w:type="dxa" w:w="80"/>
              <w:left w:type="dxa" w:w="140"/>
              <w:bottom w:type="dxa" w:w="80"/>
              <w:right w:type="dxa" w:w="140"/>
            </w:tcMar>
            <w:vAlign w:val="top"/>
          </w:tcPr>
          <w:p>
            <w:pPr>
              <w:spacing w:before="0" w:after="120"/>
              <w:jc w:val="left"/>
            </w:pPr>
            <w:r>
              <w:rPr>
                <w:rFonts w:ascii="Calibri" w:cs="Calibri" w:eastAsia="Calibri" w:hAnsi="Calibri"/>
                <w:b/>
                <w:bCs/>
                <w:color w:val="1A1A2E"/>
                <w:sz w:val="18"/>
                <w:szCs w:val="18"/>
              </w:rPr>
              <w:t xml:space="preserve">Who accesses</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 data scientists, BI engineers, Looker, Vertex AI Workbench</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 business users via JHBI portal and REST API</w:t>
            </w:r>
          </w:p>
        </w:tc>
      </w:tr>
      <w:tr>
        <w:tc>
          <w:tcPr>
            <w:tcW w:type="dxa" w:w="1600"/>
            <w:tcBorders>
              <w:top w:val="single" w:color="CCCCCC" w:sz="4"/>
              <w:left w:val="single" w:color="CCCCCC" w:sz="4"/>
              <w:bottom w:val="single" w:color="CCCCCC" w:sz="4"/>
              <w:right w:val="single" w:color="CCCCCC" w:sz="4"/>
            </w:tcBorders>
            <w:shd w:fill="E9EEF3" w:val="clear"/>
            <w:tcMar>
              <w:top w:type="dxa" w:w="80"/>
              <w:left w:type="dxa" w:w="140"/>
              <w:bottom w:type="dxa" w:w="80"/>
              <w:right w:type="dxa" w:w="140"/>
            </w:tcMar>
            <w:vAlign w:val="top"/>
          </w:tcPr>
          <w:p>
            <w:pPr>
              <w:spacing w:before="0" w:after="120"/>
              <w:jc w:val="left"/>
            </w:pPr>
            <w:r>
              <w:rPr>
                <w:rFonts w:ascii="Calibri" w:cs="Calibri" w:eastAsia="Calibri" w:hAnsi="Calibri"/>
                <w:b/>
                <w:bCs/>
                <w:color w:val="1A1A2E"/>
                <w:sz w:val="18"/>
                <w:szCs w:val="18"/>
              </w:rPr>
              <w:t xml:space="preserve">Scope</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Cross-FI — full dataset, RLS + Authorized Views prevent raw per-FI row exposure to individuals</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Per-FI rows only — enforced by API fi_id injection and BigQuery RLS as second layer</w:t>
            </w:r>
          </w:p>
        </w:tc>
      </w:tr>
      <w:tr>
        <w:tc>
          <w:tcPr>
            <w:tcW w:type="dxa" w:w="1600"/>
            <w:tcBorders>
              <w:top w:val="single" w:color="CCCCCC" w:sz="4"/>
              <w:left w:val="single" w:color="CCCCCC" w:sz="4"/>
              <w:bottom w:val="single" w:color="CCCCCC" w:sz="4"/>
              <w:right w:val="single" w:color="CCCCCC" w:sz="4"/>
            </w:tcBorders>
            <w:shd w:fill="E9EEF3" w:val="clear"/>
            <w:tcMar>
              <w:top w:type="dxa" w:w="80"/>
              <w:left w:type="dxa" w:w="140"/>
              <w:bottom w:type="dxa" w:w="80"/>
              <w:right w:type="dxa" w:w="140"/>
            </w:tcMar>
            <w:vAlign w:val="top"/>
          </w:tcPr>
          <w:p>
            <w:pPr>
              <w:spacing w:before="0" w:after="120"/>
              <w:jc w:val="left"/>
            </w:pPr>
            <w:r>
              <w:rPr>
                <w:rFonts w:ascii="Calibri" w:cs="Calibri" w:eastAsia="Calibri" w:hAnsi="Calibri"/>
                <w:b/>
                <w:bCs/>
                <w:color w:val="1A1A2E"/>
                <w:sz w:val="18"/>
                <w:szCs w:val="18"/>
              </w:rPr>
              <w:t xml:space="preserve">Use cases</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Network-wide fraud detection, benchmarking, JH product analytics, model training</w:t>
            </w:r>
          </w:p>
        </w:tc>
        <w:tc>
          <w:tcPr>
            <w:tcW w:type="dxa" w:w="38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 dashboards, payment search, exception reports, BI tool connections</w:t>
            </w:r>
          </w:p>
        </w:tc>
      </w:tr>
    </w:tbl>
    <w:p>
      <w:pPr>
        <w:spacing w:before="0" w:after="160"/>
      </w:pPr>
    </w:p>
    <w:p>
      <w:pPr>
        <w:pStyle w:val="Heading1"/>
        <w:pBdr>
          <w:bottom w:val="single" w:color="D6E4F0" w:sz="6" w:space="4"/>
        </w:pBdr>
        <w:spacing w:before="320" w:after="160"/>
      </w:pPr>
      <w:r>
        <w:rPr>
          <w:rFonts w:ascii="Calibri" w:cs="Calibri" w:eastAsia="Calibri" w:hAnsi="Calibri"/>
          <w:b/>
          <w:bCs/>
          <w:color w:val="2E75B6"/>
          <w:sz w:val="26"/>
          <w:szCs w:val="26"/>
        </w:rPr>
        <w:t xml:space="preserve">4. Data Isolation Per FI</w:t>
      </w:r>
    </w:p>
    <w:p>
      <w:pPr>
        <w:spacing w:before="0" w:after="120"/>
        <w:jc w:val="left"/>
      </w:pPr>
      <w:r>
        <w:rPr>
          <w:rFonts w:ascii="Calibri" w:cs="Calibri" w:eastAsia="Calibri" w:hAnsi="Calibri"/>
          <w:color w:val="1A1A2E"/>
          <w:sz w:val="20"/>
          <w:szCs w:val="20"/>
        </w:rPr>
        <w:t xml:space="preserve">Isolation is enforced at multiple independent layers. No single failure exposes one FI's data to another.</w:t>
      </w:r>
    </w:p>
    <w:p>
      <w:pPr>
        <w:spacing w:before="0" w:after="80"/>
      </w:pPr>
    </w:p>
    <w:p>
      <w:pPr>
        <w:pStyle w:val="Heading2"/>
        <w:spacing w:before="240" w:after="120"/>
      </w:pPr>
      <w:r>
        <w:rPr>
          <w:rFonts w:ascii="Calibri" w:cs="Calibri" w:eastAsia="Calibri" w:hAnsi="Calibri"/>
          <w:b/>
          <w:bCs/>
          <w:color w:val="1F4E79"/>
          <w:sz w:val="22"/>
          <w:szCs w:val="22"/>
        </w:rPr>
        <w:t xml:space="preserve">4.1  Row-Level Security (BigQuery RLS)</w:t>
      </w:r>
    </w:p>
    <w:p>
      <w:pPr>
        <w:spacing w:before="0" w:after="120"/>
        <w:jc w:val="left"/>
      </w:pPr>
      <w:r>
        <w:rPr>
          <w:rFonts w:ascii="Calibri" w:cs="Calibri" w:eastAsia="Calibri" w:hAnsi="Calibri"/>
          <w:color w:val="1A1A2E"/>
          <w:sz w:val="20"/>
          <w:szCs w:val="20"/>
        </w:rPr>
        <w:t xml:space="preserve">A Row Access Policy on every shared table enforces that any query — regardless of how it is written — only returns rows where </w:t>
      </w:r>
      <w:r>
        <w:rPr>
          <w:rFonts w:ascii="Calibri" w:cs="Calibri" w:eastAsia="Calibri" w:hAnsi="Calibri"/>
          <w:b/>
          <w:bCs/>
          <w:color w:val="1A1A2E"/>
          <w:sz w:val="22"/>
          <w:szCs w:val="22"/>
        </w:rPr>
        <w:t xml:space="preserve">fi_id</w:t>
      </w:r>
      <w:r>
        <w:rPr>
          <w:rFonts w:ascii="Calibri" w:cs="Calibri" w:eastAsia="Calibri" w:hAnsi="Calibri"/>
          <w:color w:val="1A1A2E"/>
          <w:sz w:val="20"/>
          <w:szCs w:val="20"/>
        </w:rPr>
        <w:t xml:space="preserve"> matches the querying identity's claim. This is enforced by BigQuery before any user-level logic runs:</w:t>
      </w:r>
    </w:p>
    <w:p>
      <w:pPr>
        <w:spacing w:before="0" w:after="6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CREATE ROW ACCESS POLICY rls_fi_isolation</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ON jhbi_silver_payments.upt_transaction</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GRANT TO ('serviceAccount:api-runner@jhbi.iam.gserviceaccount.com')</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FILTER USING (fi_id = SESSION_USER());</w:t>
            </w:r>
          </w:p>
        </w:tc>
      </w:tr>
    </w:tbl>
    <w:p>
      <w:pPr>
        <w:spacing w:before="0" w:after="100"/>
      </w:pPr>
    </w:p>
    <w:p>
      <w:pPr>
        <w:spacing w:before="0" w:after="120"/>
        <w:jc w:val="left"/>
      </w:pPr>
      <w:r>
        <w:rPr>
          <w:rFonts w:ascii="Calibri" w:cs="Calibri" w:eastAsia="Calibri" w:hAnsi="Calibri"/>
          <w:color w:val="1A1A2E"/>
          <w:sz w:val="20"/>
          <w:szCs w:val="20"/>
        </w:rPr>
        <w:t xml:space="preserve">Even if an API bug or misconfiguration omitted a WHERE clause, RLS would still return only the authenticated FI's rows.</w:t>
      </w:r>
    </w:p>
    <w:p>
      <w:pPr>
        <w:spacing w:before="0" w:after="80"/>
      </w:pPr>
    </w:p>
    <w:p>
      <w:pPr>
        <w:pStyle w:val="Heading2"/>
        <w:spacing w:before="240" w:after="120"/>
      </w:pPr>
      <w:r>
        <w:rPr>
          <w:rFonts w:ascii="Calibri" w:cs="Calibri" w:eastAsia="Calibri" w:hAnsi="Calibri"/>
          <w:b/>
          <w:bCs/>
          <w:color w:val="1F4E79"/>
          <w:sz w:val="22"/>
          <w:szCs w:val="22"/>
        </w:rPr>
        <w:t xml:space="preserve">4.2  API / Portal Layer — fi_id Injection</w:t>
      </w:r>
    </w:p>
    <w:p>
      <w:pPr>
        <w:spacing w:before="0" w:after="120"/>
        <w:jc w:val="left"/>
      </w:pPr>
      <w:r>
        <w:rPr>
          <w:rFonts w:ascii="Calibri" w:cs="Calibri" w:eastAsia="Calibri" w:hAnsi="Calibri"/>
          <w:color w:val="1A1A2E"/>
          <w:sz w:val="20"/>
          <w:szCs w:val="20"/>
        </w:rPr>
        <w:t xml:space="preserve">All FI-facing queries are executed by the JHBI API service. The FI never constructs or sends SQL. The API extracts </w:t>
      </w:r>
      <w:r>
        <w:rPr>
          <w:rFonts w:ascii="Calibri" w:cs="Calibri" w:eastAsia="Calibri" w:hAnsi="Calibri"/>
          <w:b/>
          <w:bCs/>
          <w:color w:val="1A1A2E"/>
          <w:sz w:val="22"/>
          <w:szCs w:val="22"/>
        </w:rPr>
        <w:t xml:space="preserve">fi_id</w:t>
      </w:r>
      <w:r>
        <w:rPr>
          <w:rFonts w:ascii="Calibri" w:cs="Calibri" w:eastAsia="Calibri" w:hAnsi="Calibri"/>
          <w:color w:val="1A1A2E"/>
          <w:sz w:val="20"/>
          <w:szCs w:val="20"/>
        </w:rPr>
        <w:t xml:space="preserve"> from the validated OAuth JWT and binds it as a parameterized query value before execution:</w:t>
      </w:r>
    </w:p>
    <w:p>
      <w:pPr>
        <w:spacing w:before="0" w:after="6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API middleware — fi_id is extracted from JWT, never from request body</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fi_id = jwt_payload['fi_id']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job_config = QueryJobConfig(</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query_parameters=[ScalarQueryParameter('fi_id', 'STRING',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labels={'fi_id': fi_id, 'product': 'jhbi-api'}</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client.query(sql_template, job_config=job_config)</w:t>
            </w:r>
          </w:p>
        </w:tc>
      </w:tr>
    </w:tbl>
    <w:p>
      <w:pPr>
        <w:spacing w:before="0" w:after="100"/>
      </w:pPr>
    </w:p>
    <w:p>
      <w:pPr>
        <w:spacing w:before="0" w:after="120"/>
        <w:jc w:val="left"/>
      </w:pPr>
      <w:r>
        <w:rPr>
          <w:rFonts w:ascii="Calibri" w:cs="Calibri" w:eastAsia="Calibri" w:hAnsi="Calibri"/>
          <w:color w:val="1A1A2E"/>
          <w:sz w:val="20"/>
          <w:szCs w:val="20"/>
        </w:rPr>
        <w:t xml:space="preserve">No fi_id in the token means the query is rejected before it reaches BigQuery.</w:t>
      </w:r>
    </w:p>
    <w:p>
      <w:pPr>
        <w:spacing w:before="0" w:after="80"/>
      </w:pPr>
    </w:p>
    <w:p>
      <w:pPr>
        <w:pStyle w:val="Heading2"/>
        <w:spacing w:before="240" w:after="120"/>
      </w:pPr>
      <w:r>
        <w:rPr>
          <w:rFonts w:ascii="Calibri" w:cs="Calibri" w:eastAsia="Calibri" w:hAnsi="Calibri"/>
          <w:b/>
          <w:bCs/>
          <w:color w:val="1F4E79"/>
          <w:sz w:val="22"/>
          <w:szCs w:val="22"/>
        </w:rPr>
        <w:t xml:space="preserve">4.3  Direct BigQuery Access (Power Users)</w:t>
      </w:r>
    </w:p>
    <w:p>
      <w:pPr>
        <w:spacing w:before="0" w:after="120"/>
        <w:jc w:val="left"/>
      </w:pPr>
      <w:r>
        <w:rPr>
          <w:rFonts w:ascii="Calibri" w:cs="Calibri" w:eastAsia="Calibri" w:hAnsi="Calibri"/>
          <w:color w:val="1A1A2E"/>
          <w:sz w:val="20"/>
          <w:szCs w:val="20"/>
        </w:rPr>
        <w:t xml:space="preserve">FIs who want to connect their own BI tools (Power BI, Tableau, Looker) directly to BigQuery do not need their own GCP project. JHBI provisions a dedicated Google service account per FI within JHBI's own GCP project:</w:t>
      </w:r>
    </w:p>
    <w:p>
      <w:pPr>
        <w:pStyle w:val="ListParagraph"/>
        <w:numPr>
          <w:ilvl w:val="0"/>
          <w:numId w:val="2"/>
        </w:numPr>
        <w:spacing w:before="0" w:after="80"/>
      </w:pPr>
      <w:r>
        <w:rPr>
          <w:rFonts w:ascii="Calibri" w:cs="Calibri" w:eastAsia="Calibri" w:hAnsi="Calibri"/>
          <w:color w:val="1A1A2E"/>
          <w:sz w:val="20"/>
          <w:szCs w:val="20"/>
        </w:rPr>
        <w:t xml:space="preserve">SA is granted read access to </w:t>
      </w:r>
      <w:r>
        <w:rPr>
          <w:rFonts w:ascii="Calibri" w:cs="Calibri" w:eastAsia="Calibri" w:hAnsi="Calibri"/>
          <w:b/>
          <w:bCs/>
          <w:color w:val="1A1A2E"/>
          <w:sz w:val="22"/>
          <w:szCs w:val="22"/>
        </w:rPr>
        <w:t xml:space="preserve">jhbi_gold_external</w:t>
      </w:r>
      <w:r>
        <w:rPr>
          <w:rFonts w:ascii="Calibri" w:cs="Calibri" w:eastAsia="Calibri" w:hAnsi="Calibri"/>
          <w:color w:val="1A1A2E"/>
          <w:sz w:val="20"/>
          <w:szCs w:val="20"/>
        </w:rPr>
        <w:t xml:space="preserve"> only</w:t>
      </w:r>
    </w:p>
    <w:p>
      <w:pPr>
        <w:pStyle w:val="ListParagraph"/>
        <w:numPr>
          <w:ilvl w:val="0"/>
          <w:numId w:val="2"/>
        </w:numPr>
        <w:spacing w:before="0" w:after="80"/>
      </w:pPr>
      <w:r>
        <w:rPr>
          <w:rFonts w:ascii="Calibri" w:cs="Calibri" w:eastAsia="Calibri" w:hAnsi="Calibri"/>
          <w:color w:val="1A1A2E"/>
          <w:sz w:val="20"/>
          <w:szCs w:val="20"/>
        </w:rPr>
        <w:t xml:space="preserve">RLS policy binds the SA's email to the FI's fi_id — the SA can only see that FI's rows</w:t>
      </w:r>
    </w:p>
    <w:p>
      <w:pPr>
        <w:pStyle w:val="ListParagraph"/>
        <w:numPr>
          <w:ilvl w:val="0"/>
          <w:numId w:val="2"/>
        </w:numPr>
        <w:spacing w:before="0" w:after="80"/>
      </w:pPr>
      <w:r>
        <w:rPr>
          <w:rFonts w:ascii="Calibri" w:cs="Calibri" w:eastAsia="Calibri" w:hAnsi="Calibri"/>
          <w:color w:val="1A1A2E"/>
          <w:sz w:val="20"/>
          <w:szCs w:val="20"/>
        </w:rPr>
        <w:t xml:space="preserve">SA credentials are rotated on a 90-day schedule via Secret Manager</w:t>
      </w:r>
    </w:p>
    <w:p>
      <w:pPr>
        <w:pStyle w:val="ListParagraph"/>
        <w:numPr>
          <w:ilvl w:val="0"/>
          <w:numId w:val="2"/>
        </w:numPr>
        <w:spacing w:before="0" w:after="80"/>
      </w:pPr>
      <w:r>
        <w:rPr>
          <w:rFonts w:ascii="Calibri" w:cs="Calibri" w:eastAsia="Calibri" w:hAnsi="Calibri"/>
          <w:color w:val="1A1A2E"/>
          <w:sz w:val="20"/>
          <w:szCs w:val="20"/>
        </w:rPr>
        <w:t xml:space="preserve">FI's BI tool connects using the SA key — no GCP console access required</w:t>
      </w:r>
    </w:p>
    <w:p>
      <w:pPr>
        <w:spacing w:before="0" w:after="80"/>
      </w:pPr>
    </w:p>
    <w:p>
      <w:pPr>
        <w:pStyle w:val="Heading1"/>
        <w:pBdr>
          <w:bottom w:val="single" w:color="D6E4F0" w:sz="6" w:space="4"/>
        </w:pBdr>
        <w:spacing w:before="320" w:after="160"/>
      </w:pPr>
      <w:r>
        <w:rPr>
          <w:rFonts w:ascii="Calibri" w:cs="Calibri" w:eastAsia="Calibri" w:hAnsi="Calibri"/>
          <w:b/>
          <w:bCs/>
          <w:color w:val="2E75B6"/>
          <w:sz w:val="26"/>
          <w:szCs w:val="26"/>
        </w:rPr>
        <w:t xml:space="preserve">5. Cost Attribution Per FI</w:t>
      </w:r>
    </w:p>
    <w:p>
      <w:pPr>
        <w:spacing w:before="0" w:after="120"/>
        <w:jc w:val="left"/>
      </w:pPr>
      <w:r>
        <w:rPr>
          <w:rFonts w:ascii="Calibri" w:cs="Calibri" w:eastAsia="Calibri" w:hAnsi="Calibri"/>
          <w:color w:val="1A1A2E"/>
          <w:sz w:val="20"/>
          <w:szCs w:val="20"/>
        </w:rPr>
        <w:t xml:space="preserve">Since all data lives in shared JHBI-owned datasets, GCP does not automatically attribute costs per tenant. Cost tracking uses three complementary mechanisms.</w:t>
      </w:r>
    </w:p>
    <w:p>
      <w:pPr>
        <w:spacing w:before="0" w:after="80"/>
      </w:pPr>
    </w:p>
    <w:p>
      <w:pPr>
        <w:pStyle w:val="Heading2"/>
        <w:spacing w:before="240" w:after="120"/>
      </w:pPr>
      <w:r>
        <w:rPr>
          <w:rFonts w:ascii="Calibri" w:cs="Calibri" w:eastAsia="Calibri" w:hAnsi="Calibri"/>
          <w:b/>
          <w:bCs/>
          <w:color w:val="1F4E79"/>
          <w:sz w:val="22"/>
          <w:szCs w:val="22"/>
        </w:rPr>
        <w:t xml:space="preserve">5.1  Compute Costs — Job Labels</w:t>
      </w:r>
    </w:p>
    <w:p>
      <w:pPr>
        <w:spacing w:before="0" w:after="120"/>
        <w:jc w:val="left"/>
      </w:pPr>
      <w:r>
        <w:rPr>
          <w:rFonts w:ascii="Calibri" w:cs="Calibri" w:eastAsia="Calibri" w:hAnsi="Calibri"/>
          <w:color w:val="1A1A2E"/>
          <w:sz w:val="20"/>
          <w:szCs w:val="20"/>
        </w:rPr>
        <w:t xml:space="preserve">Every BigQuery job executed by the API, portal backend, or scheduled Dataform pipeline is labeled with </w:t>
      </w:r>
      <w:r>
        <w:rPr>
          <w:rFonts w:ascii="Calibri" w:cs="Calibri" w:eastAsia="Calibri" w:hAnsi="Calibri"/>
          <w:b/>
          <w:bCs/>
          <w:color w:val="1A1A2E"/>
          <w:sz w:val="22"/>
          <w:szCs w:val="22"/>
        </w:rPr>
        <w:t xml:space="preserve">fi_id</w:t>
      </w:r>
      <w:r>
        <w:rPr>
          <w:rFonts w:ascii="Calibri" w:cs="Calibri" w:eastAsia="Calibri" w:hAnsi="Calibri"/>
          <w:color w:val="1A1A2E"/>
          <w:sz w:val="20"/>
          <w:szCs w:val="20"/>
        </w:rPr>
        <w:t xml:space="preserve">. GCP Billing Export is enabled to a BigQuery dataset, enabling a monthly cost breakdown by FI:</w:t>
      </w:r>
    </w:p>
    <w:p>
      <w:pPr>
        <w:spacing w:before="0" w:after="6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Monthly compute cost per FI</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SELECT</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label.value        AS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SUM(cost)          AS compute_cost_usd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FROM billing_export.gcp_billing_export_v1_JHBI</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CROSS JOIN UNNEST(labels) AS label</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WHERE service.description = 'BigQuery'</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AND label.key =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AND invoice.month = '202602'</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GROUP BY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ORDER BY compute_cost_usd DESC;</w:t>
            </w:r>
          </w:p>
        </w:tc>
      </w:tr>
    </w:tbl>
    <w:p>
      <w:pPr>
        <w:spacing w:before="0" w:after="100"/>
      </w:pPr>
    </w:p>
    <w:p>
      <w:pPr>
        <w:pStyle w:val="Heading2"/>
        <w:spacing w:before="240" w:after="120"/>
      </w:pPr>
      <w:r>
        <w:rPr>
          <w:rFonts w:ascii="Calibri" w:cs="Calibri" w:eastAsia="Calibri" w:hAnsi="Calibri"/>
          <w:b/>
          <w:bCs/>
          <w:color w:val="1F4E79"/>
          <w:sz w:val="22"/>
          <w:szCs w:val="22"/>
        </w:rPr>
        <w:t xml:space="preserve">5.2  Storage Costs — Partition Attribution</w:t>
      </w:r>
    </w:p>
    <w:p>
      <w:pPr>
        <w:spacing w:before="0" w:after="120"/>
        <w:jc w:val="left"/>
      </w:pPr>
      <w:r>
        <w:rPr>
          <w:rFonts w:ascii="Calibri" w:cs="Calibri" w:eastAsia="Calibri" w:hAnsi="Calibri"/>
          <w:color w:val="1A1A2E"/>
          <w:sz w:val="20"/>
          <w:szCs w:val="20"/>
        </w:rPr>
        <w:t xml:space="preserve">Tables are partitioned by date and clustered by fi_id. A monthly attribution query approximates each FI's share of storage cost:</w:t>
      </w:r>
    </w:p>
    <w:p>
      <w:pPr>
        <w:spacing w:before="0" w:after="6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Proportional storage per FI (Silver layer example)</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SELECT</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COUNT(*)                                        AS row_count,</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ROUND(SUM(amount), 2)                           AS total_volume,</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ROUND(COUNT(*) * 100.0 / SUM(COUNT(*)) OVER(), 2) AS pct_of_total</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FROM jhbi_silver_payments.upt_transaction</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WHERE DATE(initiated_at) BETWEEN '2026-02-01' AND '2026-02-28'</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GROUP BY fi_id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ORDER BY row_count DESC;</w:t>
            </w:r>
          </w:p>
        </w:tc>
      </w:tr>
    </w:tbl>
    <w:p>
      <w:pPr>
        <w:spacing w:before="0" w:after="100"/>
      </w:pPr>
    </w:p>
    <w:p>
      <w:pPr>
        <w:pStyle w:val="Heading2"/>
        <w:spacing w:before="240" w:after="120"/>
      </w:pPr>
      <w:r>
        <w:rPr>
          <w:rFonts w:ascii="Calibri" w:cs="Calibri" w:eastAsia="Calibri" w:hAnsi="Calibri"/>
          <w:b/>
          <w:bCs/>
          <w:color w:val="1F4E79"/>
          <w:sz w:val="22"/>
          <w:szCs w:val="22"/>
        </w:rPr>
        <w:t xml:space="preserve">5.3  API Usage Metering</w:t>
      </w:r>
    </w:p>
    <w:p>
      <w:pPr>
        <w:spacing w:before="0" w:after="120"/>
        <w:jc w:val="left"/>
      </w:pPr>
      <w:r>
        <w:rPr>
          <w:rFonts w:ascii="Calibri" w:cs="Calibri" w:eastAsia="Calibri" w:hAnsi="Calibri"/>
          <w:color w:val="1A1A2E"/>
          <w:sz w:val="20"/>
          <w:szCs w:val="20"/>
        </w:rPr>
        <w:t xml:space="preserve">For usage-based billing models, every API request is logged to a metering table with fi_id, endpoint, rows returned, and latency. This serves both billing attribution and SLA monitoring:</w:t>
      </w:r>
    </w:p>
    <w:p>
      <w:pPr>
        <w:spacing w:before="0" w:after="60"/>
      </w:pPr>
    </w:p>
    <w:tbl>
      <w:tblPr>
        <w:tblW w:type="dxa" w:w="8880"/>
        <w:tblBorders>
          <w:top w:val="single" w:color="BBBBBB" w:sz="4"/>
          <w:left w:val="single" w:color="2E75B6" w:sz="4"/>
          <w:bottom w:val="single" w:color="BBBBBB" w:sz="4"/>
          <w:right w:val="none"/>
          <w:insideH w:val="single" w:color="auto" w:sz="4"/>
          <w:insideV w:val="single" w:color="auto" w:sz="4"/>
        </w:tblBorders>
      </w:tblPr>
      <w:tblGrid>
        <w:gridCol w:w="8880"/>
      </w:tblGrid>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 API metering table (written by Cloud Run → Pub/Sub → BigQuery)</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fi_id          STRING    -- from JWT claim</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endpoint       STRING    -- /payments/search, /payments/detail, etc.</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rows_returned  INT64</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latency_ms     INT64</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bq_bytes_billed INT64    -- from QueryJob.total_bytes_billed</w:t>
            </w:r>
          </w:p>
        </w:tc>
      </w:tr>
      <w:tr>
        <w:tc>
          <w:tcPr>
            <w:tcW w:type="dxa" w:w="8880"/>
            <w:tcBorders>
              <w:top w:val="none"/>
              <w:left w:val="none"/>
              <w:bottom w:val="none"/>
              <w:right w:val="none"/>
            </w:tcBorders>
            <w:shd w:fill="F4F6F8" w:val="clear"/>
            <w:tcMar>
              <w:top w:type="dxa" w:w="0"/>
              <w:left w:type="dxa" w:w="200"/>
              <w:bottom w:type="dxa" w:w="0"/>
              <w:right w:type="dxa" w:w="200"/>
            </w:tcMar>
          </w:tcPr>
          <w:p>
            <w:pPr>
              <w:spacing w:before="0" w:after="0"/>
            </w:pPr>
            <w:r>
              <w:rPr>
                <w:rFonts w:ascii="Courier New" w:cs="Courier New" w:eastAsia="Courier New" w:hAnsi="Courier New"/>
                <w:color w:val="1A1A2E"/>
                <w:sz w:val="16"/>
                <w:szCs w:val="16"/>
              </w:rPr>
              <w:t xml:space="preserve">called_at      TIMESTAMP</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80"/>
        <w:gridCol w:w="2640"/>
        <w:gridCol w:w="1640"/>
      </w:tblGrid>
      <w:tr>
        <w:trPr>
          <w:tblHeader/>
        </w:trPr>
        <w:tc>
          <w:tcPr>
            <w:tcW w:type="dxa" w:w="20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Cost Type</w:t>
            </w:r>
          </w:p>
        </w:tc>
        <w:tc>
          <w:tcPr>
            <w:tcW w:type="dxa" w:w="30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Attribution Method</w:t>
            </w:r>
          </w:p>
        </w:tc>
        <w:tc>
          <w:tcPr>
            <w:tcW w:type="dxa" w:w="264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Who Pays</w:t>
            </w:r>
          </w:p>
        </w:tc>
        <w:tc>
          <w:tcPr>
            <w:tcW w:type="dxa" w:w="164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Tool</w:t>
            </w:r>
          </w:p>
        </w:tc>
      </w:tr>
      <w:tr>
        <w:tc>
          <w:tcPr>
            <w:tcW w:type="dxa" w:w="2000"/>
            <w:tcBorders>
              <w:top w:val="single" w:color="CCCCCC" w:sz="4"/>
              <w:left w:val="single" w:color="CCCCCC" w:sz="4"/>
              <w:bottom w:val="single" w:color="CCCCCC" w:sz="4"/>
              <w:right w:val="single" w:color="CCCCCC" w:sz="4"/>
            </w:tcBorders>
            <w:shd w:fill="EAF2FA" w:val="clear"/>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Compute — API/Portal</w:t>
            </w:r>
          </w:p>
        </w:tc>
        <w:tc>
          <w:tcPr>
            <w:tcW w:type="dxa" w:w="3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fi_id job label → GCP Billing Export</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 (attributed per fi_id)</w:t>
            </w:r>
          </w:p>
        </w:tc>
        <w:tc>
          <w:tcPr>
            <w:tcW w:type="dxa" w:w="1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BigQuery billing export</w:t>
            </w:r>
          </w:p>
        </w:tc>
      </w:tr>
      <w:tr>
        <w:tc>
          <w:tcPr>
            <w:tcW w:type="dxa" w:w="2000"/>
            <w:tcBorders>
              <w:top w:val="single" w:color="CCCCCC" w:sz="4"/>
              <w:left w:val="single" w:color="CCCCCC" w:sz="4"/>
              <w:bottom w:val="single" w:color="CCCCCC" w:sz="4"/>
              <w:right w:val="single" w:color="CCCCCC" w:sz="4"/>
            </w:tcBorders>
            <w:shd w:fill="EAF2FA" w:val="clear"/>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Compute — Direct BQ SA</w:t>
            </w:r>
          </w:p>
        </w:tc>
        <w:tc>
          <w:tcPr>
            <w:tcW w:type="dxa" w:w="3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fi_id label on SA-initiated jobs</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 (attributed per SA / fi_id)</w:t>
            </w:r>
          </w:p>
        </w:tc>
        <w:tc>
          <w:tcPr>
            <w:tcW w:type="dxa" w:w="1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jobs_by_project + labels</w:t>
            </w:r>
          </w:p>
        </w:tc>
      </w:tr>
      <w:tr>
        <w:tc>
          <w:tcPr>
            <w:tcW w:type="dxa" w:w="2000"/>
            <w:tcBorders>
              <w:top w:val="single" w:color="CCCCCC" w:sz="4"/>
              <w:left w:val="single" w:color="CCCCCC" w:sz="4"/>
              <w:bottom w:val="single" w:color="CCCCCC" w:sz="4"/>
              <w:right w:val="single" w:color="CCCCCC" w:sz="4"/>
            </w:tcBorders>
            <w:shd w:fill="EAF2FA" w:val="clear"/>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Storage</w:t>
            </w:r>
          </w:p>
        </w:tc>
        <w:tc>
          <w:tcPr>
            <w:tcW w:type="dxa" w:w="3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Row-count / byte proxy query against partitioned tables</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 (prorated by fi_id row share)</w:t>
            </w:r>
          </w:p>
        </w:tc>
        <w:tc>
          <w:tcPr>
            <w:tcW w:type="dxa" w:w="1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INFORMATION_SCHEMA</w:t>
            </w:r>
          </w:p>
        </w:tc>
      </w:tr>
      <w:tr>
        <w:tc>
          <w:tcPr>
            <w:tcW w:type="dxa" w:w="2000"/>
            <w:tcBorders>
              <w:top w:val="single" w:color="CCCCCC" w:sz="4"/>
              <w:left w:val="single" w:color="CCCCCC" w:sz="4"/>
              <w:bottom w:val="single" w:color="CCCCCC" w:sz="4"/>
              <w:right w:val="single" w:color="CCCCCC" w:sz="4"/>
            </w:tcBorders>
            <w:shd w:fill="EAF2FA" w:val="clear"/>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API calls / rows served</w:t>
            </w:r>
          </w:p>
        </w:tc>
        <w:tc>
          <w:tcPr>
            <w:tcW w:type="dxa" w:w="3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Metering table (fi_id + endpoint + rows)</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 billed per usage tier</w:t>
            </w:r>
          </w:p>
        </w:tc>
        <w:tc>
          <w:tcPr>
            <w:tcW w:type="dxa" w:w="16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Metering table + billing system</w:t>
            </w:r>
          </w:p>
        </w:tc>
      </w:tr>
    </w:tbl>
    <w:p>
      <w:pPr>
        <w:spacing w:before="0" w:after="160"/>
      </w:pPr>
    </w:p>
    <w:p>
      <w:pPr>
        <w:pStyle w:val="Heading1"/>
        <w:pBdr>
          <w:bottom w:val="single" w:color="D6E4F0" w:sz="6" w:space="4"/>
        </w:pBdr>
        <w:spacing w:before="320" w:after="160"/>
      </w:pPr>
      <w:r>
        <w:rPr>
          <w:rFonts w:ascii="Calibri" w:cs="Calibri" w:eastAsia="Calibri" w:hAnsi="Calibri"/>
          <w:b/>
          <w:bCs/>
          <w:color w:val="2E75B6"/>
          <w:sz w:val="26"/>
          <w:szCs w:val="26"/>
        </w:rPr>
        <w:t xml:space="preserve">6. FI Access Tiers — No GCP Account Required</w:t>
      </w:r>
    </w:p>
    <w:p>
      <w:pPr>
        <w:spacing w:before="0" w:after="120"/>
        <w:jc w:val="left"/>
      </w:pPr>
      <w:r>
        <w:rPr>
          <w:rFonts w:ascii="Calibri" w:cs="Calibri" w:eastAsia="Calibri" w:hAnsi="Calibri"/>
          <w:color w:val="1A1A2E"/>
          <w:sz w:val="20"/>
          <w:szCs w:val="20"/>
        </w:rPr>
        <w:t xml:space="preserve">FIs do not need to set up a GCP project or any cloud infrastructure. JHBI manages all access within its own GCP environment. The access tier an FI uses determines how they connect to data, not whether they need to provision anything themselves.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80"/>
        <w:gridCol w:w="2400"/>
        <w:gridCol w:w="3240"/>
      </w:tblGrid>
      <w:tr>
        <w:trPr>
          <w:tblHeader/>
        </w:trPr>
        <w:tc>
          <w:tcPr>
            <w:tcW w:type="dxa" w:w="144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Tier</w:t>
            </w:r>
          </w:p>
        </w:tc>
        <w:tc>
          <w:tcPr>
            <w:tcW w:type="dxa" w:w="22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Access Method</w:t>
            </w:r>
          </w:p>
        </w:tc>
        <w:tc>
          <w:tcPr>
            <w:tcW w:type="dxa" w:w="24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FI Setup Required</w:t>
            </w:r>
          </w:p>
        </w:tc>
        <w:tc>
          <w:tcPr>
            <w:tcW w:type="dxa" w:w="324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Notes</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before="0" w:after="120"/>
              <w:jc w:val="left"/>
            </w:pPr>
            <w:r>
              <w:rPr>
                <w:rFonts w:ascii="Calibri" w:cs="Calibri" w:eastAsia="Calibri" w:hAnsi="Calibri"/>
                <w:b/>
                <w:bCs/>
                <w:color w:val="404040"/>
                <w:sz w:val="18"/>
                <w:szCs w:val="18"/>
              </w:rPr>
              <w:t xml:space="preserve">Standard</w:t>
            </w:r>
          </w:p>
        </w:tc>
        <w:tc>
          <w:tcPr>
            <w:tcW w:type="dxa" w:w="22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 Portal only (browser)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SSO credentials (email + password or IdP federation)</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No GCP exposure. All queries run server-side with fi_id from JWT.</w:t>
            </w:r>
          </w:p>
        </w:tc>
      </w:tr>
      <w:tr>
        <w:tc>
          <w:tcPr>
            <w:tcW w:type="dxa" w:w="144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0" w:after="120"/>
              <w:jc w:val="left"/>
            </w:pPr>
            <w:r>
              <w:rPr>
                <w:rFonts w:ascii="Calibri" w:cs="Calibri" w:eastAsia="Calibri" w:hAnsi="Calibri"/>
                <w:b/>
                <w:bCs/>
                <w:color w:val="2E75B6"/>
                <w:sz w:val="18"/>
                <w:szCs w:val="18"/>
              </w:rPr>
              <w:t xml:space="preserve">Professional</w:t>
            </w:r>
          </w:p>
        </w:tc>
        <w:tc>
          <w:tcPr>
            <w:tcW w:type="dxa" w:w="22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Portal + REST API</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API key (OAuth 2.0 client credentials)</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FI pulls data into their own systems. fi_id enforced at token issuance.</w:t>
            </w:r>
          </w:p>
        </w:tc>
      </w:tr>
      <w:tr>
        <w:tc>
          <w:tcPr>
            <w:tcW w:type="dxa" w:w="1440"/>
            <w:tcBorders>
              <w:top w:val="single" w:color="CCCCCC" w:sz="4"/>
              <w:left w:val="single" w:color="CCCCCC" w:sz="4"/>
              <w:bottom w:val="single" w:color="CCCCCC" w:sz="4"/>
              <w:right w:val="single" w:color="CCCCCC" w:sz="4"/>
            </w:tcBorders>
            <w:shd w:fill="FFFBE6" w:val="clear"/>
            <w:tcMar>
              <w:top w:type="dxa" w:w="80"/>
              <w:left w:type="dxa" w:w="140"/>
              <w:bottom w:type="dxa" w:w="80"/>
              <w:right w:type="dxa" w:w="140"/>
            </w:tcMar>
            <w:vAlign w:val="top"/>
          </w:tcPr>
          <w:p>
            <w:pPr>
              <w:spacing w:before="0" w:after="120"/>
              <w:jc w:val="left"/>
            </w:pPr>
            <w:r>
              <w:rPr>
                <w:rFonts w:ascii="Calibri" w:cs="Calibri" w:eastAsia="Calibri" w:hAnsi="Calibri"/>
                <w:b/>
                <w:bCs/>
                <w:color w:val="7B5E00"/>
                <w:sz w:val="18"/>
                <w:szCs w:val="18"/>
              </w:rPr>
              <w:t xml:space="preserve">Power User</w:t>
            </w:r>
          </w:p>
        </w:tc>
        <w:tc>
          <w:tcPr>
            <w:tcW w:type="dxa" w:w="22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Portal + API + Direct BigQuery SA</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JHBI-provisioned service account key; no GCP console access</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Power BI / Tableau / Looker connect directly. SA is scoped to jhbi_gold_external + RLS for their fi_id only.</w:t>
            </w:r>
          </w:p>
        </w:tc>
      </w:tr>
      <w:tr>
        <w:tc>
          <w:tcPr>
            <w:tcW w:type="dxa" w:w="1440"/>
            <w:tcBorders>
              <w:top w:val="single" w:color="CCCCCC" w:sz="4"/>
              <w:left w:val="single" w:color="CCCCCC" w:sz="4"/>
              <w:bottom w:val="single" w:color="CCCCCC" w:sz="4"/>
              <w:right w:val="single" w:color="CCCCCC" w:sz="4"/>
            </w:tcBorders>
            <w:shd w:fill="FDECEA" w:val="clear"/>
            <w:tcMar>
              <w:top w:type="dxa" w:w="80"/>
              <w:left w:type="dxa" w:w="140"/>
              <w:bottom w:type="dxa" w:w="80"/>
              <w:right w:type="dxa" w:w="140"/>
            </w:tcMar>
            <w:vAlign w:val="top"/>
          </w:tcPr>
          <w:p>
            <w:pPr>
              <w:spacing w:before="0" w:after="120"/>
              <w:jc w:val="left"/>
            </w:pPr>
            <w:r>
              <w:rPr>
                <w:rFonts w:ascii="Calibri" w:cs="Calibri" w:eastAsia="Calibri" w:hAnsi="Calibri"/>
                <w:b/>
                <w:bCs/>
                <w:color w:val="C0392B"/>
                <w:sz w:val="18"/>
                <w:szCs w:val="18"/>
              </w:rPr>
              <w:t xml:space="preserve">Enterprise</w:t>
            </w:r>
          </w:p>
        </w:tc>
        <w:tc>
          <w:tcPr>
            <w:tcW w:type="dxa" w:w="22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Above + dedicated dataset or GCS export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Optional: FI GCP project for dedicated dataset; or SFTP for file delivery</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Only when contractually required (DPA, data residency). Promoted via Terraform module from shared model.</w:t>
            </w:r>
          </w:p>
        </w:tc>
      </w:tr>
    </w:tbl>
    <w:p>
      <w:pPr>
        <w:spacing w:before="0" w:after="160"/>
      </w:pPr>
    </w:p>
    <w:p>
      <w:pPr>
        <w:pStyle w:val="Heading1"/>
        <w:pBdr>
          <w:bottom w:val="single" w:color="D6E4F0" w:sz="6" w:space="4"/>
        </w:pBdr>
        <w:spacing w:before="320" w:after="160"/>
      </w:pPr>
      <w:r>
        <w:rPr>
          <w:rFonts w:ascii="Calibri" w:cs="Calibri" w:eastAsia="Calibri" w:hAnsi="Calibri"/>
          <w:b/>
          <w:bCs/>
          <w:color w:val="2E75B6"/>
          <w:sz w:val="26"/>
          <w:szCs w:val="26"/>
        </w:rPr>
        <w:t xml:space="preserve">7. Full Tenancy Summary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40"/>
        <w:gridCol w:w="2080"/>
        <w:gridCol w:w="2200"/>
        <w:gridCol w:w="1560"/>
      </w:tblGrid>
      <w:tr>
        <w:trPr>
          <w:tblHeader/>
        </w:trPr>
        <w:tc>
          <w:tcPr>
            <w:tcW w:type="dxa" w:w="16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Layer</w:t>
            </w:r>
          </w:p>
        </w:tc>
        <w:tc>
          <w:tcPr>
            <w:tcW w:type="dxa" w:w="184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Isolation</w:t>
            </w:r>
          </w:p>
        </w:tc>
        <w:tc>
          <w:tcPr>
            <w:tcW w:type="dxa" w:w="208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Cost Attribution</w:t>
            </w:r>
          </w:p>
        </w:tc>
        <w:tc>
          <w:tcPr>
            <w:tcW w:type="dxa" w:w="22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FI Access Path</w:t>
            </w:r>
          </w:p>
        </w:tc>
        <w:tc>
          <w:tcPr>
            <w:tcW w:type="dxa" w:w="156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top"/>
          </w:tcPr>
          <w:p>
            <w:pPr>
              <w:jc w:val="center"/>
            </w:pPr>
            <w:r>
              <w:rPr>
                <w:rFonts w:ascii="Calibri" w:cs="Calibri" w:eastAsia="Calibri" w:hAnsi="Calibri"/>
                <w:b/>
                <w:bCs/>
                <w:color w:val="FFFFFF"/>
                <w:sz w:val="18"/>
                <w:szCs w:val="18"/>
              </w:rPr>
              <w:t xml:space="preserve">FI GCP Needed?</w:t>
            </w:r>
          </w:p>
        </w:tc>
      </w:tr>
      <w:tr>
        <w:tc>
          <w:tcPr>
            <w:tcW w:type="dxa" w:w="1680"/>
            <w:tcBorders>
              <w:top w:val="single" w:color="CCCCCC" w:sz="4"/>
              <w:left w:val="single" w:color="CCCCCC" w:sz="4"/>
              <w:bottom w:val="single" w:color="CCCCCC" w:sz="4"/>
              <w:right w:val="single" w:color="CCCCCC" w:sz="4"/>
            </w:tcBorders>
            <w:shd w:fill="FDF0E6" w:val="clear"/>
            <w:tcMar>
              <w:top w:type="dxa" w:w="80"/>
              <w:left w:type="dxa" w:w="140"/>
              <w:bottom w:type="dxa" w:w="80"/>
              <w:right w:type="dxa" w:w="140"/>
            </w:tcMar>
            <w:vAlign w:val="top"/>
          </w:tcPr>
          <w:p>
            <w:pPr>
              <w:spacing w:before="0" w:after="120"/>
              <w:jc w:val="left"/>
            </w:pPr>
            <w:r>
              <w:rPr>
                <w:rFonts w:ascii="Calibri" w:cs="Calibri" w:eastAsia="Calibri" w:hAnsi="Calibri"/>
                <w:b/>
                <w:bCs/>
                <w:color w:val="7B3F00"/>
                <w:sz w:val="18"/>
                <w:szCs w:val="18"/>
              </w:rPr>
              <w:t xml:space="preserve">Bronze</w:t>
            </w:r>
          </w:p>
        </w:tc>
        <w:tc>
          <w:tcPr>
            <w:tcW w:type="dxa" w:w="18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IAM (pipeline SAs only) + fi_id partition</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Pipeline job labels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None — no user access</w:t>
            </w:r>
          </w:p>
        </w:tc>
        <w:tc>
          <w:tcPr>
            <w:tcW w:type="dxa" w:w="1560"/>
            <w:tcBorders>
              <w:top w:val="single" w:color="CCCCCC" w:sz="4"/>
              <w:left w:val="single" w:color="CCCCCC" w:sz="4"/>
              <w:bottom w:val="single" w:color="CCCCCC" w:sz="4"/>
              <w:right w:val="single" w:color="CCCCCC" w:sz="4"/>
            </w:tcBorders>
            <w:shd w:fill="E8F5EC" w:val="clear"/>
            <w:tcMar>
              <w:top w:type="dxa" w:w="80"/>
              <w:left w:type="dxa" w:w="140"/>
              <w:bottom w:type="dxa" w:w="80"/>
              <w:right w:type="dxa" w:w="140"/>
            </w:tcMar>
            <w:vAlign w:val="top"/>
          </w:tcPr>
          <w:p>
            <w:pPr>
              <w:spacing w:before="0" w:after="120"/>
              <w:jc w:val="left"/>
            </w:pPr>
            <w:r>
              <w:rPr>
                <w:rFonts w:ascii="Calibri" w:cs="Calibri" w:eastAsia="Calibri" w:hAnsi="Calibri"/>
                <w:b/>
                <w:bCs/>
                <w:color w:val="1E5C3A"/>
                <w:sz w:val="18"/>
                <w:szCs w:val="18"/>
              </w:rPr>
              <w:t xml:space="preserve">No</w:t>
            </w:r>
          </w:p>
        </w:tc>
      </w:tr>
      <w:tr>
        <w:tc>
          <w:tcPr>
            <w:tcW w:type="dxa" w:w="1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vAlign w:val="top"/>
          </w:tcPr>
          <w:p>
            <w:pPr>
              <w:spacing w:before="0" w:after="120"/>
              <w:jc w:val="left"/>
            </w:pPr>
            <w:r>
              <w:rPr>
                <w:rFonts w:ascii="Calibri" w:cs="Calibri" w:eastAsia="Calibri" w:hAnsi="Calibri"/>
                <w:b/>
                <w:bCs/>
                <w:color w:val="404040"/>
                <w:sz w:val="18"/>
                <w:szCs w:val="18"/>
              </w:rPr>
              <w:t xml:space="preserve">Silver</w:t>
            </w:r>
          </w:p>
        </w:tc>
        <w:tc>
          <w:tcPr>
            <w:tcW w:type="dxa" w:w="18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BigQuery RLS (fi_id = SESSION_USER())</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Job labels + partition sizing</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JH-internal only</w:t>
            </w:r>
          </w:p>
        </w:tc>
        <w:tc>
          <w:tcPr>
            <w:tcW w:type="dxa" w:w="1560"/>
            <w:tcBorders>
              <w:top w:val="single" w:color="CCCCCC" w:sz="4"/>
              <w:left w:val="single" w:color="CCCCCC" w:sz="4"/>
              <w:bottom w:val="single" w:color="CCCCCC" w:sz="4"/>
              <w:right w:val="single" w:color="CCCCCC" w:sz="4"/>
            </w:tcBorders>
            <w:shd w:fill="E8F5EC" w:val="clear"/>
            <w:tcMar>
              <w:top w:type="dxa" w:w="80"/>
              <w:left w:type="dxa" w:w="140"/>
              <w:bottom w:type="dxa" w:w="80"/>
              <w:right w:type="dxa" w:w="140"/>
            </w:tcMar>
            <w:vAlign w:val="top"/>
          </w:tcPr>
          <w:p>
            <w:pPr>
              <w:spacing w:before="0" w:after="120"/>
              <w:jc w:val="left"/>
            </w:pPr>
            <w:r>
              <w:rPr>
                <w:rFonts w:ascii="Calibri" w:cs="Calibri" w:eastAsia="Calibri" w:hAnsi="Calibri"/>
                <w:b/>
                <w:bCs/>
                <w:color w:val="1E5C3A"/>
                <w:sz w:val="18"/>
                <w:szCs w:val="18"/>
              </w:rPr>
              <w:t xml:space="preserve">No</w:t>
            </w:r>
          </w:p>
        </w:tc>
      </w:tr>
      <w:tr>
        <w:tc>
          <w:tcPr>
            <w:tcW w:type="dxa" w:w="1680"/>
            <w:tcBorders>
              <w:top w:val="single" w:color="CCCCCC" w:sz="4"/>
              <w:left w:val="single" w:color="CCCCCC" w:sz="4"/>
              <w:bottom w:val="single" w:color="CCCCCC" w:sz="4"/>
              <w:right w:val="single" w:color="CCCCCC" w:sz="4"/>
            </w:tcBorders>
            <w:shd w:fill="FFFBE6" w:val="clear"/>
            <w:tcMar>
              <w:top w:type="dxa" w:w="80"/>
              <w:left w:type="dxa" w:w="140"/>
              <w:bottom w:type="dxa" w:w="80"/>
              <w:right w:type="dxa" w:w="140"/>
            </w:tcMar>
            <w:vAlign w:val="top"/>
          </w:tcPr>
          <w:p>
            <w:pPr>
              <w:spacing w:before="0" w:after="120"/>
              <w:jc w:val="left"/>
            </w:pPr>
            <w:r>
              <w:rPr>
                <w:rFonts w:ascii="Calibri" w:cs="Calibri" w:eastAsia="Calibri" w:hAnsi="Calibri"/>
                <w:b/>
                <w:bCs/>
                <w:color w:val="7B5E00"/>
                <w:sz w:val="18"/>
                <w:szCs w:val="18"/>
              </w:rPr>
              <w:t xml:space="preserve">Gold Internal</w:t>
            </w:r>
          </w:p>
        </w:tc>
        <w:tc>
          <w:tcPr>
            <w:tcW w:type="dxa" w:w="18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RLS + Authorized Views; no individual cross-FI row access</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Job labels on all BQ jobs</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i/>
                <w:iCs/>
                <w:color w:val="666666"/>
                <w:sz w:val="18"/>
                <w:szCs w:val="18"/>
              </w:rPr>
              <w:t xml:space="preserve">Looker, Vertex AI, JH analysts</w:t>
            </w:r>
          </w:p>
        </w:tc>
        <w:tc>
          <w:tcPr>
            <w:tcW w:type="dxa" w:w="1560"/>
            <w:tcBorders>
              <w:top w:val="single" w:color="CCCCCC" w:sz="4"/>
              <w:left w:val="single" w:color="CCCCCC" w:sz="4"/>
              <w:bottom w:val="single" w:color="CCCCCC" w:sz="4"/>
              <w:right w:val="single" w:color="CCCCCC" w:sz="4"/>
            </w:tcBorders>
            <w:shd w:fill="E8F5EC" w:val="clear"/>
            <w:tcMar>
              <w:top w:type="dxa" w:w="80"/>
              <w:left w:type="dxa" w:w="140"/>
              <w:bottom w:type="dxa" w:w="80"/>
              <w:right w:type="dxa" w:w="140"/>
            </w:tcMar>
            <w:vAlign w:val="top"/>
          </w:tcPr>
          <w:p>
            <w:pPr>
              <w:spacing w:before="0" w:after="120"/>
              <w:jc w:val="left"/>
            </w:pPr>
            <w:r>
              <w:rPr>
                <w:rFonts w:ascii="Calibri" w:cs="Calibri" w:eastAsia="Calibri" w:hAnsi="Calibri"/>
                <w:b/>
                <w:bCs/>
                <w:color w:val="1E5C3A"/>
                <w:sz w:val="18"/>
                <w:szCs w:val="18"/>
              </w:rPr>
              <w:t xml:space="preserve">No</w:t>
            </w:r>
          </w:p>
        </w:tc>
      </w:tr>
      <w:tr>
        <w:tc>
          <w:tcPr>
            <w:tcW w:type="dxa" w:w="168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0" w:after="120"/>
              <w:jc w:val="left"/>
            </w:pPr>
            <w:r>
              <w:rPr>
                <w:rFonts w:ascii="Calibri" w:cs="Calibri" w:eastAsia="Calibri" w:hAnsi="Calibri"/>
                <w:b/>
                <w:bCs/>
                <w:color w:val="2E75B6"/>
                <w:sz w:val="18"/>
                <w:szCs w:val="18"/>
              </w:rPr>
              <w:t xml:space="preserve">Gold External</w:t>
            </w:r>
          </w:p>
        </w:tc>
        <w:tc>
          <w:tcPr>
            <w:tcW w:type="dxa" w:w="184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API fi_id injection + BQ RLS as backstop</w:t>
            </w:r>
          </w:p>
        </w:tc>
        <w:tc>
          <w:tcPr>
            <w:tcW w:type="dxa" w:w="208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Job labels + API metering table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vAlign w:val="top"/>
          </w:tcPr>
          <w:p>
            <w:pPr>
              <w:spacing w:before="0" w:after="120"/>
              <w:jc w:val="left"/>
            </w:pPr>
            <w:r>
              <w:rPr>
                <w:rFonts w:ascii="Calibri" w:cs="Calibri" w:eastAsia="Calibri" w:hAnsi="Calibri"/>
                <w:color w:val="1A1A2E"/>
                <w:sz w:val="18"/>
                <w:szCs w:val="18"/>
              </w:rPr>
              <w:t xml:space="preserve">Portal, REST API, Direct BQ SA (JHBI-managed)</w:t>
            </w:r>
          </w:p>
        </w:tc>
        <w:tc>
          <w:tcPr>
            <w:tcW w:type="dxa" w:w="1560"/>
            <w:tcBorders>
              <w:top w:val="single" w:color="CCCCCC" w:sz="4"/>
              <w:left w:val="single" w:color="CCCCCC" w:sz="4"/>
              <w:bottom w:val="single" w:color="CCCCCC" w:sz="4"/>
              <w:right w:val="single" w:color="CCCCCC" w:sz="4"/>
            </w:tcBorders>
            <w:shd w:fill="D6E4F0" w:val="clear"/>
            <w:tcMar>
              <w:top w:type="dxa" w:w="80"/>
              <w:left w:type="dxa" w:w="140"/>
              <w:bottom w:type="dxa" w:w="80"/>
              <w:right w:type="dxa" w:w="140"/>
            </w:tcMar>
            <w:vAlign w:val="top"/>
          </w:tcPr>
          <w:p>
            <w:pPr>
              <w:spacing w:before="0" w:after="120"/>
              <w:jc w:val="left"/>
            </w:pPr>
            <w:r>
              <w:rPr>
                <w:rFonts w:ascii="Calibri" w:cs="Calibri" w:eastAsia="Calibri" w:hAnsi="Calibri"/>
                <w:b/>
                <w:bCs/>
                <w:color w:val="2E75B6"/>
                <w:sz w:val="18"/>
                <w:szCs w:val="18"/>
              </w:rPr>
              <w:t xml:space="preserve">No*</w:t>
            </w:r>
          </w:p>
        </w:tc>
      </w:tr>
    </w:tbl>
    <w:p>
      <w:pPr>
        <w:spacing w:before="0" w:after="60"/>
      </w:pPr>
    </w:p>
    <w:p>
      <w:pPr>
        <w:spacing w:before="0" w:after="120"/>
        <w:jc w:val="left"/>
      </w:pPr>
      <w:r>
        <w:rPr>
          <w:rFonts w:ascii="Calibri" w:cs="Calibri" w:eastAsia="Calibri" w:hAnsi="Calibri"/>
          <w:i/>
          <w:iCs/>
          <w:color w:val="666666"/>
          <w:sz w:val="18"/>
          <w:szCs w:val="18"/>
        </w:rPr>
        <w:t xml:space="preserve">* Enterprise tier only: FI GCP project required if contractual data residency or dedicated dataset isolation is needed. Promoted via Terraform from the shared model — FI downstream integrations unchanged.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EAF2FA" w:val="clear"/>
            <w:tcMar>
              <w:top w:type="dxa" w:w="160"/>
              <w:left w:type="dxa" w:w="300"/>
              <w:bottom w:type="dxa" w:w="160"/>
              <w:right w:type="dxa" w:w="300"/>
            </w:tcMar>
          </w:tcPr>
          <w:p>
            <w:pPr>
              <w:spacing w:before="0" w:after="80"/>
            </w:pPr>
            <w:r>
              <w:rPr>
                <w:rFonts w:ascii="Calibri" w:cs="Calibri" w:eastAsia="Calibri" w:hAnsi="Calibri"/>
                <w:b/>
                <w:bCs/>
                <w:color w:val="2E75B6"/>
                <w:sz w:val="20"/>
                <w:szCs w:val="20"/>
              </w:rPr>
              <w:t xml:space="preserve">Key Design Principle</w:t>
            </w:r>
          </w:p>
          <w:p>
            <w:pPr>
              <w:spacing w:before="0" w:after="0"/>
            </w:pPr>
            <w:r>
              <w:rPr>
                <w:rFonts w:ascii="Calibri" w:cs="Calibri" w:eastAsia="Calibri" w:hAnsi="Calibri"/>
                <w:color w:val="1A1A2E"/>
                <w:sz w:val="20"/>
                <w:szCs w:val="20"/>
              </w:rPr>
              <w:t xml:space="preserve">Never hardcode project IDs, dataset names, or fi_id values in application code. Use config-driven references (BQ_PROJECT_ID, DATASET_ID, fi_id from JWT) so that the full architecture — from shared datasets to dedicated per-FI projects — is a configuration change, not a code change. This keeps the migration path to dedicated FI tenancy open at all times without a re-engineering event.</w:t>
            </w:r>
          </w:p>
        </w:tc>
      </w:tr>
    </w:tbl>
    <w:p>
      <w:pPr>
        <w:spacing w:before="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360"/>
      </w:tabs>
      <w:spacing w:before="0"/>
    </w:pPr>
    <w:r>
      <w:rPr>
        <w:rFonts w:ascii="Calibri" w:cs="Calibri" w:eastAsia="Calibri" w:hAnsi="Calibri"/>
        <w:color w:val="666666"/>
        <w:sz w:val="16"/>
        <w:szCs w:val="16"/>
      </w:rPr>
      <w:t xml:space="preserve">Jack Henry Business Intelligence  |  GCP Data as a Service</w:t>
    </w:r>
    <w:r>
      <w:rPr>
        <w:rFonts w:ascii="Calibri" w:cs="Calibri" w:eastAsia="Calibri" w:hAnsi="Calibri"/>
      </w:rPr>
      <w:t xml:space="preserv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tabs>
        <w:tab w:val="right" w:pos="9360"/>
      </w:tabs>
      <w:spacing w:after="0"/>
    </w:pPr>
    <w:r>
      <w:rPr>
        <w:rFonts w:ascii="Calibri" w:cs="Calibri" w:eastAsia="Calibri" w:hAnsi="Calibri"/>
        <w:b/>
        <w:bCs/>
        <w:color w:val="2E75B6"/>
        <w:sz w:val="16"/>
        <w:szCs w:val="16"/>
      </w:rPr>
      <w:t xml:space="preserve">JHBI — Multi-Tenant Data Architecture</w:t>
    </w:r>
    <w:r>
      <w:rPr>
        <w:rFonts w:ascii="Calibri" w:cs="Calibri" w:eastAsia="Calibri" w:hAnsi="Calibri"/>
      </w:rPr>
      <w:t xml:space="preserve">	</w:t>
    </w:r>
    <w:r>
      <w:rPr>
        <w:rFonts w:ascii="Calibri" w:cs="Calibri" w:eastAsia="Calibri" w:hAnsi="Calibri"/>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2E75B6"/>
      <w:sz w:val="26"/>
      <w:szCs w:val="26"/>
    </w:rPr>
  </w:style>
  <w:style w:type="paragraph" w:styleId="Heading2">
    <w:name w:val="Heading 2"/>
    <w:basedOn w:val="Normal"/>
    <w:next w:val="Normal"/>
    <w:qFormat/>
    <w:pPr>
      <w:spacing w:before="240" w:after="120"/>
      <w:outlineLvl w:val="1"/>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2026-02-24T18:22:17.608Z</dcterms:created>
  <dcterms:modified xsi:type="dcterms:W3CDTF">2026-02-24T18:22:17.608Z</dcterms:modified>
</cp:coreProperties>
</file>

<file path=docProps/custom.xml><?xml version="1.0" encoding="utf-8"?>
<Properties xmlns="http://schemas.openxmlformats.org/officeDocument/2006/custom-properties" xmlns:vt="http://schemas.openxmlformats.org/officeDocument/2006/docPropsVTypes"/>
</file>