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003087"/>
          <w:sz w:val="44"/>
          <w:szCs w:val="44"/>
        </w:rPr>
        <w:t xml:space="preserve">Jack Henry &amp; Associates</w:t>
      </w:r>
    </w:p>
    <w:p>
      <w:pPr>
        <w:spacing w:before="0" w:after="160"/>
        <w:jc w:val="center"/>
      </w:pPr>
      <w:r>
        <w:rPr>
          <w:rFonts w:ascii="Arial" w:cs="Arial" w:eastAsia="Arial" w:hAnsi="Arial"/>
          <w:b/>
          <w:bCs/>
          <w:color w:val="003087"/>
          <w:sz w:val="32"/>
          <w:szCs w:val="32"/>
        </w:rPr>
        <w:t xml:space="preserve">Identity Resolution for Payment Products</w:t>
      </w:r>
    </w:p>
    <w:p>
      <w:pPr>
        <w:spacing w:before="0" w:after="160"/>
        <w:jc w:val="center"/>
      </w:pPr>
      <w:r>
        <w:rPr>
          <w:rFonts w:ascii="Arial" w:cs="Arial" w:eastAsia="Arial" w:hAnsi="Arial"/>
          <w:color w:val="5f6368"/>
          <w:sz w:val="24"/>
          <w:szCs w:val="24"/>
        </w:rPr>
        <w:t xml:space="preserve">Lightweight Entity Resolution: Account, Customer/Member &amp; Household</w:t>
      </w:r>
    </w:p>
    <w:p>
      <w:pPr>
        <w:spacing w:before="0" w:after="80"/>
        <w:jc w:val="center"/>
      </w:pPr>
      <w:r>
        <w:rPr>
          <w:rFonts w:ascii="Arial" w:cs="Arial" w:eastAsia="Arial" w:hAnsi="Arial"/>
          <w:b/>
          <w:bCs/>
          <w:color w:val="e37400"/>
          <w:sz w:val="22"/>
          <w:szCs w:val="22"/>
        </w:rPr>
        <w:t xml:space="preserve">Technical Design Document — v0.4 | DRAFT</w:t>
      </w:r>
    </w:p>
    <w:p>
      <w:pPr>
        <w:spacing w:before="0" w:after="80"/>
        <w:jc w:val="center"/>
      </w:pPr>
      <w:r>
        <w:rPr>
          <w:rFonts w:ascii="Arial" w:cs="Arial" w:eastAsia="Arial" w:hAnsi="Arial"/>
          <w:color w:val="5f6368"/>
          <w:sz w:val="22"/>
          <w:szCs w:val="22"/>
        </w:rPr>
        <w:t xml:space="preserve">February 2026</w:t>
      </w:r>
    </w:p>
    <w:p>
      <w:pPr>
        <w:spacing w:before="0" w:after="1440"/>
        <w:jc w:val="center"/>
      </w:pPr>
      <w:r>
        <w:rPr>
          <w:rFonts w:ascii="Arial" w:cs="Arial" w:eastAsia="Arial" w:hAnsi="Arial"/>
          <w:i/>
          <w:iCs/>
          <w:color w:val="5f6368"/>
          <w:sz w:val="20"/>
          <w:szCs w:val="20"/>
        </w:rPr>
        <w:t xml:space="preserve">Based on: JH Payment Products Research Reference (Feb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7400" w:sz="8"/>
              <w:left w:val="single" w:color="e37400" w:sz="8"/>
              <w:bottom w:val="single" w:color="e37400" w:sz="8"/>
              <w:right w:val="single" w:color="e37400" w:sz="8"/>
            </w:tcBorders>
            <w:shd w:fill="fff8e1" w:val="clear"/>
            <w:tcMar>
              <w:top w:type="dxa" w:w="80"/>
              <w:left w:type="dxa" w:w="120"/>
              <w:bottom w:type="dxa" w:w="80"/>
              <w:right w:type="dxa" w:w="120"/>
            </w:tcMar>
          </w:tcPr>
          <w:p>
            <w:r>
              <w:rPr>
                <w:rFonts w:ascii="Arial" w:cs="Arial" w:eastAsia="Arial" w:hAnsi="Arial"/>
                <w:sz w:val="22"/>
                <w:szCs w:val="22"/>
              </w:rPr>
              <w:t xml:space="preserve">This document covers Phase 1 (Deterministic Core) only. Phases 2–4 (additional adapters, probabilistic matching, graph enrichment) are documented separately in JH_Identity_Resolution_Futures_v0.1.docx.</w:t>
            </w:r>
          </w:p>
        </w:tc>
      </w:tr>
    </w:tbl>
    <w:p>
      <w:r>
        <w:br w:type="page"/>
      </w:r>
    </w:p>
    <w:p>
      <w:pPr>
        <w:pStyle w:val="Heading1"/>
        <w:spacing w:before="360" w:after="160"/>
      </w:pPr>
      <w:r>
        <w:rPr>
          <w:rFonts w:ascii="Arial" w:cs="Arial" w:eastAsia="Arial" w:hAnsi="Arial"/>
          <w:b/>
          <w:bCs/>
          <w:color w:val="003087"/>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Arial" w:cs="Arial" w:eastAsia="Arial" w:hAnsi="Arial"/>
          <w:b/>
          <w:bCs/>
          <w:color w:val="003087"/>
          <w:sz w:val="28"/>
          <w:szCs w:val="28"/>
        </w:rPr>
        <w:t xml:space="preserve">1. Introduction</w:t>
      </w:r>
    </w:p>
    <w:p>
      <w:pPr>
        <w:spacing w:before="80" w:after="100"/>
      </w:pPr>
      <w:r>
        <w:rPr>
          <w:rFonts w:ascii="Arial" w:cs="Arial" w:eastAsia="Arial" w:hAnsi="Arial"/>
          <w:sz w:val="22"/>
          <w:szCs w:val="22"/>
        </w:rPr>
        <w:t xml:space="preserve">This document describes the technical design for a lightweight Identity Resolution (IDR) capability scoped to Jack Henry payment products. The goal is to establish a shared, authoritative understanding of every party involved in a payment — at the account, customer/member, and household levels — by unifying identity signals across all in-scope payment data sources.</w:t>
      </w:r>
    </w:p>
    <w:p>
      <w:pPr>
        <w:spacing w:before="80" w:after="100"/>
      </w:pPr>
      <w:r>
        <w:rPr>
          <w:rFonts w:ascii="Arial" w:cs="Arial" w:eastAsia="Arial" w:hAnsi="Arial"/>
          <w:sz w:val="22"/>
          <w:szCs w:val="22"/>
        </w:rPr>
        <w:t xml:space="preserve">The design is grounded in the JHBI unified payment schema model: every payment in the silver layer has an originator and a destination. Identity resolution is performed on both parties to every payment, regardless of whether they are a Jack Henry FI account holder or an external counterparty.</w:t>
      </w:r>
    </w:p>
    <w:p>
      <w:pPr>
        <w:pStyle w:val="Heading2"/>
        <w:spacing w:before="240" w:after="120"/>
      </w:pPr>
      <w:r>
        <w:rPr>
          <w:rFonts w:ascii="Arial" w:cs="Arial" w:eastAsia="Arial" w:hAnsi="Arial"/>
          <w:b/>
          <w:bCs/>
          <w:color w:val="1a73e8"/>
          <w:sz w:val="24"/>
          <w:szCs w:val="24"/>
        </w:rPr>
        <w:t xml:space="preserve">1.1 Background and Motivation</w:t>
      </w:r>
    </w:p>
    <w:p>
      <w:pPr>
        <w:spacing w:before="80" w:after="100"/>
      </w:pPr>
      <w:r>
        <w:rPr>
          <w:rFonts w:ascii="Arial" w:cs="Arial" w:eastAsia="Arial" w:hAnsi="Arial"/>
          <w:sz w:val="22"/>
          <w:szCs w:val="22"/>
        </w:rPr>
        <w:t xml:space="preserve">Jack Henry’s payment portfolio spans ACH, wires, instant payments (RTP, FedNow), Zelle, bill pay, check/RDC, P2P, A2A, and B2B payments across approximately 9,000 financial institution clients. Each product maintains its own customer identity model, leading to:</w:t>
      </w:r>
    </w:p>
    <w:p>
      <w:pPr>
        <w:pStyle w:val="ListParagraph"/>
        <w:numPr>
          <w:ilvl w:val="0"/>
          <w:numId w:val="2"/>
        </w:numPr>
        <w:spacing w:before="60" w:after="60"/>
      </w:pPr>
      <w:r>
        <w:rPr>
          <w:rFonts w:ascii="Arial" w:cs="Arial" w:eastAsia="Arial" w:hAnsi="Arial"/>
          <w:sz w:val="22"/>
          <w:szCs w:val="22"/>
        </w:rPr>
        <w:t xml:space="preserve">Duplicate and fragmented customer records across products, making unified analytics unreliable.</w:t>
      </w:r>
    </w:p>
    <w:p>
      <w:pPr>
        <w:pStyle w:val="ListParagraph"/>
        <w:numPr>
          <w:ilvl w:val="0"/>
          <w:numId w:val="2"/>
        </w:numPr>
        <w:spacing w:before="60" w:after="60"/>
      </w:pPr>
      <w:r>
        <w:rPr>
          <w:rFonts w:ascii="Arial" w:cs="Arial" w:eastAsia="Arial" w:hAnsi="Arial"/>
          <w:sz w:val="22"/>
          <w:szCs w:val="22"/>
        </w:rPr>
        <w:t xml:space="preserve">Inability to link the same individual’s payment activity across ACH origination, Zelle sends, and bill pay within the same FI.</w:t>
      </w:r>
    </w:p>
    <w:p>
      <w:pPr>
        <w:pStyle w:val="ListParagraph"/>
        <w:numPr>
          <w:ilvl w:val="0"/>
          <w:numId w:val="2"/>
        </w:numPr>
        <w:spacing w:before="60" w:after="60"/>
      </w:pPr>
      <w:r>
        <w:rPr>
          <w:rFonts w:ascii="Arial" w:cs="Arial" w:eastAsia="Arial" w:hAnsi="Arial"/>
          <w:sz w:val="22"/>
          <w:szCs w:val="22"/>
        </w:rPr>
        <w:t xml:space="preserve">No mechanism for JHBI to identify that the same person has relationships across multiple Jack Henry FI clients.</w:t>
      </w:r>
    </w:p>
    <w:p>
      <w:pPr>
        <w:pStyle w:val="ListParagraph"/>
        <w:numPr>
          <w:ilvl w:val="0"/>
          <w:numId w:val="2"/>
        </w:numPr>
        <w:spacing w:before="60" w:after="60"/>
      </w:pPr>
      <w:r>
        <w:rPr>
          <w:rFonts w:ascii="Arial" w:cs="Arial" w:eastAsia="Arial" w:hAnsi="Arial"/>
          <w:sz w:val="22"/>
          <w:szCs w:val="22"/>
        </w:rPr>
        <w:t xml:space="preserve">Constrained fraud detection, BSA/AML, and personalization capabilities without a consistent identity anchor.</w:t>
      </w:r>
    </w:p>
    <w:p>
      <w:pPr>
        <w:pStyle w:val="Heading2"/>
        <w:spacing w:before="240" w:after="120"/>
      </w:pPr>
      <w:r>
        <w:rPr>
          <w:rFonts w:ascii="Arial" w:cs="Arial" w:eastAsia="Arial" w:hAnsi="Arial"/>
          <w:b/>
          <w:bCs/>
          <w:color w:val="1a73e8"/>
          <w:sz w:val="24"/>
          <w:szCs w:val="24"/>
        </w:rPr>
        <w:t xml:space="preserve">1.2 Design Philosophy</w:t>
      </w:r>
    </w:p>
    <w:p>
      <w:pPr>
        <w:spacing w:before="80" w:after="100"/>
      </w:pPr>
      <w:r>
        <w:rPr>
          <w:rFonts w:ascii="Arial" w:cs="Arial" w:eastAsia="Arial" w:hAnsi="Arial"/>
          <w:sz w:val="22"/>
          <w:szCs w:val="22"/>
        </w:rPr>
        <w:t xml:space="preserve">The design follows three guiding principles:</w:t>
      </w:r>
    </w:p>
    <w:p>
      <w:pPr>
        <w:pStyle w:val="ListParagraph"/>
        <w:numPr>
          <w:ilvl w:val="0"/>
          <w:numId w:val="2"/>
        </w:numPr>
        <w:spacing w:before="60" w:after="60"/>
      </w:pPr>
      <w:r>
        <w:rPr>
          <w:rFonts w:ascii="Arial" w:cs="Arial" w:eastAsia="Arial" w:hAnsi="Arial"/>
          <w:b/>
          <w:bCs/>
          <w:sz w:val="22"/>
          <w:szCs w:val="22"/>
        </w:rPr>
        <w:t xml:space="preserve">Simple first, extensible later. </w:t>
      </w:r>
      <w:r>
        <w:rPr>
          <w:rFonts w:ascii="Arial" w:cs="Arial" w:eastAsia="Arial" w:hAnsi="Arial"/>
          <w:sz w:val="22"/>
          <w:szCs w:val="22"/>
        </w:rPr>
        <w:t xml:space="preserve">This release delivers deterministic blocking and exact-match resolution. Probabilistic and ML-based matching are planned as future extensions, designed via extension points but not delivered here.</w:t>
      </w:r>
    </w:p>
    <w:p>
      <w:pPr>
        <w:pStyle w:val="ListParagraph"/>
        <w:numPr>
          <w:ilvl w:val="0"/>
          <w:numId w:val="2"/>
        </w:numPr>
        <w:spacing w:before="60" w:after="60"/>
      </w:pPr>
      <w:r>
        <w:rPr>
          <w:rFonts w:ascii="Arial" w:cs="Arial" w:eastAsia="Arial" w:hAnsi="Arial"/>
          <w:b/>
          <w:bCs/>
          <w:sz w:val="22"/>
          <w:szCs w:val="22"/>
        </w:rPr>
        <w:t xml:space="preserve">Resolve everyone. </w:t>
      </w:r>
      <w:r>
        <w:rPr>
          <w:rFonts w:ascii="Arial" w:cs="Arial" w:eastAsia="Arial" w:hAnsi="Arial"/>
          <w:sz w:val="22"/>
          <w:szCs w:val="22"/>
        </w:rPr>
        <w:t xml:space="preserve">All payment participants — not just JH account holders — receive at least a lightweight identity profile. This includes external counterparties (ACH receivers at other FIs, wire beneficiaries, bill pay billers).</w:t>
      </w:r>
    </w:p>
    <w:p>
      <w:pPr>
        <w:pStyle w:val="ListParagraph"/>
        <w:numPr>
          <w:ilvl w:val="0"/>
          <w:numId w:val="2"/>
        </w:numPr>
        <w:spacing w:before="60" w:after="60"/>
      </w:pPr>
      <w:r>
        <w:rPr>
          <w:rFonts w:ascii="Arial" w:cs="Arial" w:eastAsia="Arial" w:hAnsi="Arial"/>
          <w:b/>
          <w:bCs/>
          <w:sz w:val="22"/>
          <w:szCs w:val="22"/>
        </w:rPr>
        <w:t xml:space="preserve">Never leak across tenant boundaries. </w:t>
      </w:r>
      <w:r>
        <w:rPr>
          <w:rFonts w:ascii="Arial" w:cs="Arial" w:eastAsia="Arial" w:hAnsi="Arial"/>
          <w:sz w:val="22"/>
          <w:szCs w:val="22"/>
        </w:rPr>
        <w:t xml:space="preserve">FI-scoped resolution is the default and the only thing exposed externally. A JH-global cross-FI identity tier exists for internal JHBI analytics but is architecturally isolated from all FI-facing API surfaces.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8"/>
              <w:left w:val="single" w:color="1a73e8" w:sz="8"/>
              <w:bottom w:val="none"/>
              <w:right w:val="single" w:color="1a73e8" w:sz="8"/>
            </w:tcBorders>
            <w:shd w:fill="1a73e8" w:val="clear"/>
            <w:tcMar>
              <w:top w:type="dxa" w:w="80"/>
              <w:left w:type="dxa" w:w="120"/>
              <w:bottom w:type="dxa" w:w="60"/>
              <w:right w:type="dxa" w:w="120"/>
            </w:tcMar>
          </w:tcPr>
          <w:p>
            <w:r>
              <w:rPr>
                <w:rFonts w:ascii="Arial" w:cs="Arial" w:eastAsia="Arial" w:hAnsi="Arial"/>
                <w:b/>
                <w:bCs/>
                <w:color w:val="FFFFFF"/>
                <w:sz w:val="22"/>
                <w:szCs w:val="22"/>
              </w:rPr>
              <w:t xml:space="preserve">Key Architectural Decision: FI-Scoped + JH-Global</w:t>
            </w:r>
          </w:p>
        </w:tc>
      </w:tr>
      <w:tr>
        <w:tc>
          <w:tcPr>
            <w:tcW w:type="dxa" w:w="9360"/>
            <w:tcBorders>
              <w:top w:val="none"/>
              <w:left w:val="single" w:color="1a73e8" w:sz="8"/>
              <w:bottom w:val="single" w:color="1a73e8" w:sz="8"/>
              <w:right w:val="single" w:color="1a73e8" w:sz="8"/>
            </w:tcBorders>
            <w:shd w:fill="ebf3fb" w:val="clear"/>
            <w:tcMar>
              <w:top w:type="dxa" w:w="80"/>
              <w:left w:type="dxa" w:w="120"/>
              <w:bottom w:type="dxa" w:w="80"/>
              <w:right w:type="dxa" w:w="120"/>
            </w:tcMar>
          </w:tcPr>
          <w:p>
            <w:r>
              <w:rPr>
                <w:rFonts w:ascii="Arial" w:cs="Arial" w:eastAsia="Arial" w:hAnsi="Arial"/>
                <w:sz w:val="22"/>
                <w:szCs w:val="22"/>
              </w:rPr>
              <w:t xml:space="preserve">Tier 1 (FI-Scoped): Full entity resolution per financial institution. Strict tenant isolation — FI-A cannot see FI-B entities. This is the external API surface.</w:t>
            </w:r>
          </w:p>
          <w:p>
            <w:r>
              <w:rPr>
                <w:rFonts w:ascii="Arial" w:cs="Arial" w:eastAsia="Arial" w:hAnsi="Arial"/>
                <w:sz w:val="22"/>
                <w:szCs w:val="22"/>
              </w:rPr>
              <w:t xml:space="preserve">Tier 2 (JH-Global): A link table only. No PII, no data copies. Records ‘FI-A customer 123 and FI-B customer 456 are the same person’ using only high-confidence token signals (SSN hash or exact account+routing token). Never exposed to FIs. Internal JHBI analytics only.</w:t>
            </w:r>
          </w:p>
        </w:tc>
      </w:tr>
    </w:tbl>
    <w:p>
      <w:pPr>
        <w:spacing w:before="80" w:after="80"/>
      </w:pPr>
    </w:p>
    <w:p>
      <w:pPr>
        <w:spacing w:before="80" w:after="100"/>
      </w:pPr>
      <w:r>
        <w:rPr>
          <w:rFonts w:ascii="Arial" w:cs="Arial" w:eastAsia="Arial" w:hAnsi="Arial"/>
          <w:sz w:val="22"/>
          <w:szCs w:val="22"/>
        </w:rPr>
        <w:t xml:space="preserve">The JH-global tier is a token-to-token linkage. Because both SSN hashes and account tokens are non-reversible without per-FI keys, no actual PII ever crosses a tenant boundary. JHBI analytics can join the global person ID with each FI’s scoped data under appropriate access controls.</w:t>
      </w:r>
    </w:p>
    <w:p>
      <w:pPr>
        <w:pStyle w:val="Heading1"/>
        <w:spacing w:before="360" w:after="160"/>
      </w:pPr>
      <w:r>
        <w:rPr>
          <w:rFonts w:ascii="Arial" w:cs="Arial" w:eastAsia="Arial" w:hAnsi="Arial"/>
          <w:b/>
          <w:bCs/>
          <w:color w:val="003087"/>
          <w:sz w:val="28"/>
          <w:szCs w:val="28"/>
        </w:rPr>
        <w:t xml:space="preserve">2. Scope</w:t>
      </w:r>
    </w:p>
    <w:p>
      <w:pPr>
        <w:pStyle w:val="Heading2"/>
        <w:spacing w:before="240" w:after="120"/>
      </w:pPr>
      <w:r>
        <w:rPr>
          <w:rFonts w:ascii="Arial" w:cs="Arial" w:eastAsia="Arial" w:hAnsi="Arial"/>
          <w:b/>
          <w:bCs/>
          <w:color w:val="1a73e8"/>
          <w:sz w:val="24"/>
          <w:szCs w:val="24"/>
        </w:rPr>
        <w:t xml:space="preserve">2.1 In-Scope Payment Products and Identity Signals</w:t>
      </w:r>
    </w:p>
    <w:p>
      <w:pPr>
        <w:spacing w:before="80" w:after="100"/>
      </w:pPr>
      <w:r>
        <w:rPr>
          <w:rFonts w:ascii="Arial" w:cs="Arial" w:eastAsia="Arial" w:hAnsi="Arial"/>
          <w:sz w:val="22"/>
          <w:szCs w:val="22"/>
        </w:rPr>
        <w:t xml:space="preserve">The following Jack Henry payment products are in scope as CDC sources for the IDR system. CPS (Card Processing Solutions) is explicitly excluded because it is the card-issuing side and JH does not control the raw cardholder data flow from that product. Card acquisition products (Tap2Local, EPS card gateway) are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300"/>
        <w:gridCol w:w="3260"/>
      </w:tblGrid>
      <w:tr>
        <w:trPr>
          <w:tblHeader/>
        </w:trPr>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Product</w:t>
            </w:r>
          </w:p>
        </w:tc>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Payment Types</w:t>
            </w:r>
          </w:p>
        </w:tc>
        <w:tc>
          <w:tcPr>
            <w:tcW w:type="dxa" w:w="33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Originator Signals</w:t>
            </w:r>
          </w:p>
        </w:tc>
        <w:tc>
          <w:tcPr>
            <w:tcW w:type="dxa" w:w="32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Destination Signals</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SilverLake / Symitar Core</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All (anchor)</w:t>
            </w:r>
          </w:p>
        </w:tc>
        <w:tc>
          <w:tcPr>
            <w:tcW w:type="dxa" w:w="33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CIF/account ID, SSN/TIN hash, name, DOB, address, email, phone</w:t>
            </w:r>
          </w:p>
        </w:tc>
        <w:tc>
          <w:tcPr>
            <w:tcW w:type="dxa" w:w="3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Joint owner CIF, beneficiary info</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Profitstars ACH / EPS ACH</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ACH Credit/Debit, Same-Day ACH</w:t>
            </w:r>
          </w:p>
        </w:tc>
        <w:tc>
          <w:tcPr>
            <w:tcW w:type="dxa" w:w="33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ODFI, originator name, SEC code</w:t>
            </w:r>
          </w:p>
        </w:tc>
        <w:tc>
          <w:tcPr>
            <w:tcW w:type="dxa" w:w="3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RDFI, receiver name, SEC code</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JHA PayCenter</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RTP, FedNow, Zelle, Rail Finder</w:t>
            </w:r>
          </w:p>
        </w:tc>
        <w:tc>
          <w:tcPr>
            <w:tcW w:type="dxa" w:w="33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Zelle token (email/phone), proxy address</w:t>
            </w:r>
          </w:p>
        </w:tc>
        <w:tc>
          <w:tcPr>
            <w:tcW w:type="dxa" w:w="3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Zelle token, proxy, beneficiary name</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Payrailz Platform</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P2P, A2A, Bill Pay, Loan Pay</w:t>
            </w:r>
          </w:p>
        </w:tc>
        <w:tc>
          <w:tcPr>
            <w:tcW w:type="dxa" w:w="33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email token, phone token, user profile ID</w:t>
            </w:r>
          </w:p>
        </w:tc>
        <w:tc>
          <w:tcPr>
            <w:tcW w:type="dxa" w:w="3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Email token or phone token (open-loop P2P); account token (A2A); biller ID (bill pay)</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Jack Henry Wires</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FedWire domestic, Corpay international</w:t>
            </w:r>
          </w:p>
        </w:tc>
        <w:tc>
          <w:tcPr>
            <w:tcW w:type="dxa" w:w="33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FI customer ID, name</w:t>
            </w:r>
          </w:p>
        </w:tc>
        <w:tc>
          <w:tcPr>
            <w:tcW w:type="dxa" w:w="3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(domestic); SWIFT BIC+IBAN (intl); beneficiary name+address</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iPay Solutions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Consumer/Business Bill Pay, CardPay, P2P</w:t>
            </w:r>
          </w:p>
        </w:tc>
        <w:tc>
          <w:tcPr>
            <w:tcW w:type="dxa" w:w="33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email token, user profile ID</w:t>
            </w:r>
          </w:p>
        </w:tc>
        <w:tc>
          <w:tcPr>
            <w:tcW w:type="dxa" w:w="3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Biller ID, biller name+address, payee account token</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EPS / Check 21 / RDC</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Check deposit, RDC, Check-to-ACH</w:t>
            </w:r>
          </w:p>
        </w:tc>
        <w:tc>
          <w:tcPr>
            <w:tcW w:type="dxa" w:w="33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MICR account+routing token, depositor account</w:t>
            </w:r>
          </w:p>
        </w:tc>
        <w:tc>
          <w:tcPr>
            <w:tcW w:type="dxa" w:w="3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Payee name (image-extracted), account+routing token</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Tap2Local / EPS Gateway</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Card-present acceptance (NFC, QR, link)</w:t>
            </w:r>
          </w:p>
        </w:tc>
        <w:tc>
          <w:tcPr>
            <w:tcW w:type="dxa" w:w="33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Tokenized PAN (card acceptance side only)</w:t>
            </w:r>
          </w:p>
        </w:tc>
        <w:tc>
          <w:tcPr>
            <w:tcW w:type="dxa" w:w="3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Merchant profile ID, merchant name, MCC</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Banno Digital Platform</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Transfers, bill pay, Zelle, P2P</w:t>
            </w:r>
          </w:p>
        </w:tc>
        <w:tc>
          <w:tcPr>
            <w:tcW w:type="dxa" w:w="33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User profile ID, linked account token, email token, device fingerprint</w:t>
            </w:r>
          </w:p>
        </w:tc>
        <w:tc>
          <w:tcPr>
            <w:tcW w:type="dxa" w:w="3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Linked external account token, Zelle token, biller ID</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 Payment Solutions / Money Center</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B2V ACH, payroll, remittance, govt payments</w:t>
            </w:r>
          </w:p>
        </w:tc>
        <w:tc>
          <w:tcPr>
            <w:tcW w:type="dxa" w:w="33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 account token, EIN/TIN hash, business name</w:t>
            </w:r>
          </w:p>
        </w:tc>
        <w:tc>
          <w:tcPr>
            <w:tcW w:type="dxa" w:w="3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Vendor/employee account token, EIN/TIN hash, business name</w:t>
            </w:r>
          </w:p>
        </w:tc>
      </w:tr>
    </w:tbl>
    <w:p>
      <w:pPr>
        <w:pStyle w:val="Heading2"/>
        <w:spacing w:before="240" w:after="120"/>
      </w:pPr>
      <w:r>
        <w:rPr>
          <w:rFonts w:ascii="Arial" w:cs="Arial" w:eastAsia="Arial" w:hAnsi="Arial"/>
          <w:b/>
          <w:bCs/>
          <w:color w:val="1a73e8"/>
          <w:sz w:val="24"/>
          <w:szCs w:val="24"/>
        </w:rPr>
        <w:t xml:space="preserve">2.2 Out of Scope</w:t>
      </w:r>
    </w:p>
    <w:p>
      <w:pPr>
        <w:pStyle w:val="ListParagraph"/>
        <w:numPr>
          <w:ilvl w:val="0"/>
          <w:numId w:val="2"/>
        </w:numPr>
        <w:spacing w:before="60" w:after="60"/>
      </w:pPr>
      <w:r>
        <w:rPr>
          <w:rFonts w:ascii="Arial" w:cs="Arial" w:eastAsia="Arial" w:hAnsi="Arial"/>
          <w:sz w:val="22"/>
          <w:szCs w:val="22"/>
        </w:rPr>
        <w:t xml:space="preserve">CPS (Card Processing Solutions) — card issuance side excluded. Card-funded transactions through iPay CardPay and EPS gateway (acquisition side) are in scope.</w:t>
      </w:r>
    </w:p>
    <w:p>
      <w:pPr>
        <w:pStyle w:val="ListParagraph"/>
        <w:numPr>
          <w:ilvl w:val="0"/>
          <w:numId w:val="2"/>
        </w:numPr>
        <w:spacing w:before="60" w:after="60"/>
      </w:pPr>
      <w:r>
        <w:rPr>
          <w:rFonts w:ascii="Arial" w:cs="Arial" w:eastAsia="Arial" w:hAnsi="Arial"/>
          <w:sz w:val="22"/>
          <w:szCs w:val="22"/>
        </w:rPr>
        <w:t xml:space="preserve">ATM/ITM — driven by CPS; excluded with CPS.</w:t>
      </w:r>
    </w:p>
    <w:p>
      <w:pPr>
        <w:pStyle w:val="ListParagraph"/>
        <w:numPr>
          <w:ilvl w:val="0"/>
          <w:numId w:val="2"/>
        </w:numPr>
        <w:spacing w:before="60" w:after="60"/>
      </w:pPr>
      <w:r>
        <w:rPr>
          <w:rFonts w:ascii="Arial" w:cs="Arial" w:eastAsia="Arial" w:hAnsi="Arial"/>
          <w:sz w:val="22"/>
          <w:szCs w:val="22"/>
        </w:rPr>
        <w:t xml:space="preserve">External bureau enrichment (LexisNexis, USPS NCOA, etc.) — this release uses only payment-derived signals.</w:t>
      </w:r>
    </w:p>
    <w:p>
      <w:pPr>
        <w:pStyle w:val="ListParagraph"/>
        <w:numPr>
          <w:ilvl w:val="0"/>
          <w:numId w:val="2"/>
        </w:numPr>
        <w:spacing w:before="60" w:after="60"/>
      </w:pPr>
      <w:r>
        <w:rPr>
          <w:rFonts w:ascii="Arial" w:cs="Arial" w:eastAsia="Arial" w:hAnsi="Arial"/>
          <w:sz w:val="22"/>
          <w:szCs w:val="22"/>
        </w:rPr>
        <w:t xml:space="preserve">Full MDM / Golden Record — IDR is a lightweight resolution layer, not a system-of-record replacement.</w:t>
      </w:r>
    </w:p>
    <w:p>
      <w:pPr>
        <w:pStyle w:val="Heading2"/>
        <w:spacing w:before="240" w:after="120"/>
      </w:pPr>
      <w:r>
        <w:rPr>
          <w:rFonts w:ascii="Arial" w:cs="Arial" w:eastAsia="Arial" w:hAnsi="Arial"/>
          <w:b/>
          <w:bCs/>
          <w:color w:val="1a73e8"/>
          <w:sz w:val="24"/>
          <w:szCs w:val="24"/>
        </w:rPr>
        <w:t xml:space="preserve">2.3 Party Types in Payment Data</w:t>
      </w:r>
    </w:p>
    <w:p>
      <w:pPr>
        <w:spacing w:before="80" w:after="100"/>
      </w:pPr>
      <w:r>
        <w:rPr>
          <w:rFonts w:ascii="Arial" w:cs="Arial" w:eastAsia="Arial" w:hAnsi="Arial"/>
          <w:sz w:val="22"/>
          <w:szCs w:val="22"/>
        </w:rPr>
        <w:t xml:space="preserve">Given the scope of ‘all payment parties,’ three distinct party types appear as originators or destinations across in-scope payment products. Each has different signal richness: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Party Type</w:t>
            </w:r>
          </w:p>
        </w:tc>
        <w:tc>
          <w:tcPr>
            <w:tcW w:type="dxa" w:w="35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Signal Richness</w:t>
            </w:r>
          </w:p>
        </w:tc>
        <w:tc>
          <w:tcPr>
            <w:tcW w:type="dxa" w:w="38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Resolution Approach</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 FI Account Holder</w:t>
            </w:r>
          </w:p>
        </w:tc>
        <w:tc>
          <w:tcPr>
            <w:tcW w:type="dxa" w:w="35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Full: SSN hash, account token, email, phone, DOB, address from core</w:t>
            </w:r>
          </w:p>
        </w:tc>
        <w:tc>
          <w:tcPr>
            <w:tcW w:type="dxa" w:w="38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Full deterministic resolution. Enriched from SilverLake/Symitar core data.</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External Counterparty (other FI)</w:t>
            </w:r>
          </w:p>
        </w:tc>
        <w:tc>
          <w:tcPr>
            <w:tcW w:type="dxa" w:w="35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Partial: account+routing token, name, address (from payment data only)</w:t>
            </w:r>
          </w:p>
        </w:tc>
        <w:tc>
          <w:tcPr>
            <w:tcW w:type="dxa" w:w="38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Lightweight External Profile. Upgraded to full entity if they become a JH account holder.</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Biller / Merchant / Business</w:t>
            </w:r>
          </w:p>
        </w:tc>
        <w:tc>
          <w:tcPr>
            <w:tcW w:type="dxa" w:w="35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Biller ID, business name, MCC, address</w:t>
            </w:r>
          </w:p>
        </w:tc>
        <w:tc>
          <w:tcPr>
            <w:tcW w:type="dxa" w:w="38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Resolved as Customer/Member with entity_type=BUSINESS. No household assignment.</w:t>
            </w:r>
          </w:p>
        </w:tc>
      </w:tr>
    </w:tbl>
    <w:p>
      <w:pPr>
        <w:pStyle w:val="Heading1"/>
        <w:spacing w:before="360" w:after="160"/>
      </w:pPr>
      <w:r>
        <w:rPr>
          <w:rFonts w:ascii="Arial" w:cs="Arial" w:eastAsia="Arial" w:hAnsi="Arial"/>
          <w:b/>
          <w:bCs/>
          <w:color w:val="003087"/>
          <w:sz w:val="28"/>
          <w:szCs w:val="28"/>
        </w:rPr>
        <w:t xml:space="preserve">3. Silver Layer Identity Extraction</w:t>
      </w:r>
    </w:p>
    <w:p>
      <w:pPr>
        <w:spacing w:before="80" w:after="100"/>
      </w:pPr>
      <w:r>
        <w:rPr>
          <w:rFonts w:ascii="Arial" w:cs="Arial" w:eastAsia="Arial" w:hAnsi="Arial"/>
          <w:sz w:val="22"/>
          <w:szCs w:val="22"/>
        </w:rPr>
        <w:t xml:space="preserve">The JHBI silver layer normalizes all payment types into a unified schema in which every payment record has an originator party and a destination party. The IDR system processes every payment event by extracting identity signals for both parties and attempting resolution against the entity index.</w:t>
      </w:r>
    </w:p>
    <w:p>
      <w:pPr>
        <w:pStyle w:val="Heading2"/>
        <w:spacing w:before="240" w:after="120"/>
      </w:pPr>
      <w:r>
        <w:rPr>
          <w:rFonts w:ascii="Arial" w:cs="Arial" w:eastAsia="Arial" w:hAnsi="Arial"/>
          <w:b/>
          <w:bCs/>
          <w:color w:val="1a73e8"/>
          <w:sz w:val="24"/>
          <w:szCs w:val="24"/>
        </w:rPr>
        <w:t xml:space="preserve">3.1 Unified Payment Participant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8"/>
              <w:left w:val="single" w:color="1a73e8" w:sz="8"/>
              <w:bottom w:val="none"/>
              <w:right w:val="single" w:color="1a73e8" w:sz="8"/>
            </w:tcBorders>
            <w:shd w:fill="1a73e8" w:val="clear"/>
            <w:tcMar>
              <w:top w:type="dxa" w:w="80"/>
              <w:left w:type="dxa" w:w="120"/>
              <w:bottom w:type="dxa" w:w="60"/>
              <w:right w:type="dxa" w:w="120"/>
            </w:tcMar>
          </w:tcPr>
          <w:p>
            <w:r>
              <w:rPr>
                <w:rFonts w:ascii="Arial" w:cs="Arial" w:eastAsia="Arial" w:hAnsi="Arial"/>
                <w:b/>
                <w:bCs/>
                <w:color w:val="FFFFFF"/>
                <w:sz w:val="22"/>
                <w:szCs w:val="22"/>
              </w:rPr>
              <w:t xml:space="preserve">Core Model</w:t>
            </w:r>
          </w:p>
        </w:tc>
      </w:tr>
      <w:tr>
        <w:tc>
          <w:tcPr>
            <w:tcW w:type="dxa" w:w="9360"/>
            <w:tcBorders>
              <w:top w:val="none"/>
              <w:left w:val="single" w:color="1a73e8" w:sz="8"/>
              <w:bottom w:val="single" w:color="1a73e8" w:sz="8"/>
              <w:right w:val="single" w:color="1a73e8" w:sz="8"/>
            </w:tcBorders>
            <w:shd w:fill="ebf3fb" w:val="clear"/>
            <w:tcMar>
              <w:top w:type="dxa" w:w="80"/>
              <w:left w:type="dxa" w:w="120"/>
              <w:bottom w:type="dxa" w:w="80"/>
              <w:right w:type="dxa" w:w="120"/>
            </w:tcMar>
          </w:tcPr>
          <w:p>
            <w:r>
              <w:rPr>
                <w:rFonts w:ascii="Arial" w:cs="Arial" w:eastAsia="Arial" w:hAnsi="Arial"/>
                <w:sz w:val="22"/>
                <w:szCs w:val="22"/>
              </w:rPr>
              <w:t xml:space="preserve">Every payment in the silver layer: Payment → Originator Party (idr_customer_id + party_role=ORIGINATOR) + Destination Party (idr_customer_id + party_role=DESTINATION).</w:t>
            </w:r>
          </w:p>
          <w:p>
            <w:r>
              <w:rPr>
                <w:rFonts w:ascii="Arial" w:cs="Arial" w:eastAsia="Arial" w:hAnsi="Arial"/>
                <w:sz w:val="22"/>
                <w:szCs w:val="22"/>
              </w:rPr>
              <w:t xml:space="preserve">Both parties are resolved independently using the signals available from that payment type. The resolution confidence may differ — an outgoing ACH to an external FI may yield a confident Tier-1 match for the originator (JH account holder) and only a Tier-4 stub for the destination (external party).</w:t>
            </w:r>
          </w:p>
        </w:tc>
      </w:tr>
    </w:tbl>
    <w:p>
      <w:pPr>
        <w:pStyle w:val="Heading2"/>
        <w:spacing w:before="240" w:after="120"/>
      </w:pPr>
      <w:r>
        <w:rPr>
          <w:rFonts w:ascii="Arial" w:cs="Arial" w:eastAsia="Arial" w:hAnsi="Arial"/>
          <w:b/>
          <w:bCs/>
          <w:color w:val="1a73e8"/>
          <w:sz w:val="24"/>
          <w:szCs w:val="24"/>
        </w:rPr>
        <w:t xml:space="preserve">3.2 Identity Signal Extraction by Payment Type</w:t>
      </w:r>
    </w:p>
    <w:p>
      <w:pPr>
        <w:spacing w:before="80" w:after="100"/>
      </w:pPr>
      <w:r>
        <w:rPr>
          <w:rFonts w:ascii="Arial" w:cs="Arial" w:eastAsia="Arial" w:hAnsi="Arial"/>
          <w:sz w:val="22"/>
          <w:szCs w:val="22"/>
        </w:rPr>
        <w:t xml:space="preserve">The following table maps each payment type to the identity signals extracted for the originator and destination parties, and the blocking keys that result. Blocking keys are defined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400"/>
        <w:gridCol w:w="3460"/>
      </w:tblGrid>
      <w:tr>
        <w:trPr>
          <w:tblHeader/>
        </w:trPr>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Payment Type</w:t>
            </w:r>
          </w:p>
        </w:tc>
        <w:tc>
          <w:tcPr>
            <w:tcW w:type="dxa" w:w="11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Rail</w:t>
            </w:r>
          </w:p>
        </w:tc>
        <w:tc>
          <w:tcPr>
            <w:tcW w:type="dxa" w:w="3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Originator Signals</w:t>
            </w:r>
          </w:p>
        </w:tc>
        <w:tc>
          <w:tcPr>
            <w:tcW w:type="dxa" w:w="34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Destination Signals</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ACH Credit/Debit</w:t>
            </w:r>
          </w:p>
        </w:tc>
        <w:tc>
          <w:tcPr>
            <w:tcW w:type="dxa" w:w="11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ACH/NACHA</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ODFI routing, originator acct token, name, SEC code</w:t>
            </w:r>
          </w:p>
        </w:tc>
        <w:tc>
          <w:tcPr>
            <w:tcW w:type="dxa" w:w="3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RDFI routing, receiver acct token, receiver name, SEC code</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Same-Day ACH</w:t>
            </w:r>
          </w:p>
        </w:tc>
        <w:tc>
          <w:tcPr>
            <w:tcW w:type="dxa" w:w="11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ACH/NACHA</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Same as ACH above; settlement flag = SAME_DAY</w:t>
            </w:r>
          </w:p>
        </w:tc>
        <w:tc>
          <w:tcPr>
            <w:tcW w:type="dxa" w:w="3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Same as ACH above</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Domestic Wire</w:t>
            </w:r>
          </w:p>
        </w:tc>
        <w:tc>
          <w:tcPr>
            <w:tcW w:type="dxa" w:w="11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FedWire</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Originator acct token, routing, FI customer ID, name</w:t>
            </w:r>
          </w:p>
        </w:tc>
        <w:tc>
          <w:tcPr>
            <w:tcW w:type="dxa" w:w="3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Beneficiary acct token, routing, beneficiary name, address</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International Wire</w:t>
            </w:r>
          </w:p>
        </w:tc>
        <w:tc>
          <w:tcPr>
            <w:tcW w:type="dxa" w:w="11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Corpay/SWIFT</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Originator acct token, routing, name</w:t>
            </w:r>
          </w:p>
        </w:tc>
        <w:tc>
          <w:tcPr>
            <w:tcW w:type="dxa" w:w="3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SWIFT BIC, IBAN token, beneficiary name, country, address</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RTP Send/Receive</w:t>
            </w:r>
          </w:p>
        </w:tc>
        <w:tc>
          <w:tcPr>
            <w:tcW w:type="dxa" w:w="11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RTP (TCH)</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proxy (email/phone token)</w:t>
            </w:r>
          </w:p>
        </w:tc>
        <w:tc>
          <w:tcPr>
            <w:tcW w:type="dxa" w:w="3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proxy (email/phone token), name</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FedNow Send/Receive</w:t>
            </w:r>
          </w:p>
        </w:tc>
        <w:tc>
          <w:tcPr>
            <w:tcW w:type="dxa" w:w="11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FedNow (Fed)</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proxy token</w:t>
            </w:r>
          </w:p>
        </w:tc>
        <w:tc>
          <w:tcPr>
            <w:tcW w:type="dxa" w:w="3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Account+routing token, proxy token, name</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Zelle P2P</w:t>
            </w:r>
          </w:p>
        </w:tc>
        <w:tc>
          <w:tcPr>
            <w:tcW w:type="dxa" w:w="11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Zelle Network</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Underlying DDA acct token, Zelle token (email or phone)</w:t>
            </w:r>
          </w:p>
        </w:tc>
        <w:tc>
          <w:tcPr>
            <w:tcW w:type="dxa" w:w="3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Zelle token (email or phone), name</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P2P (Payrailz)</w:t>
            </w:r>
          </w:p>
        </w:tc>
        <w:tc>
          <w:tcPr>
            <w:tcW w:type="dxa" w:w="11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ACH/RTP/FedNow</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 token, email token, phone token</w:t>
            </w:r>
          </w:p>
        </w:tc>
        <w:tc>
          <w:tcPr>
            <w:tcW w:type="dxa" w:w="3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Email token or phone token (open-loop); acct token (enrolled)</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A2A Transfer</w:t>
            </w:r>
          </w:p>
        </w:tc>
        <w:tc>
          <w:tcPr>
            <w:tcW w:type="dxa" w:w="11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ACH / Book</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 token (source FI)</w:t>
            </w:r>
          </w:p>
        </w:tc>
        <w:tc>
          <w:tcPr>
            <w:tcW w:type="dxa" w:w="3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 token (destination FI, may be external)</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Consumer Bill Pay</w:t>
            </w:r>
          </w:p>
        </w:tc>
        <w:tc>
          <w:tcPr>
            <w:tcW w:type="dxa" w:w="11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ACH / Check</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Payer account token, email token</w:t>
            </w:r>
          </w:p>
        </w:tc>
        <w:tc>
          <w:tcPr>
            <w:tcW w:type="dxa" w:w="3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Biller ID, biller name, biller address (entity_type=BUSINESS)</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Check Deposit / RDC</w:t>
            </w:r>
          </w:p>
        </w:tc>
        <w:tc>
          <w:tcPr>
            <w:tcW w:type="dxa" w:w="11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Check 21</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Depositor account token</w:t>
            </w:r>
          </w:p>
        </w:tc>
        <w:tc>
          <w:tcPr>
            <w:tcW w:type="dxa" w:w="3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Payee name (OCR from image), MICR acct+routing token</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Check-to-ACH Conversion</w:t>
            </w:r>
          </w:p>
        </w:tc>
        <w:tc>
          <w:tcPr>
            <w:tcW w:type="dxa" w:w="11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ACH (ARC/POP/BOC)</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MICR acct+routing token, payer name</w:t>
            </w:r>
          </w:p>
        </w:tc>
        <w:tc>
          <w:tcPr>
            <w:tcW w:type="dxa" w:w="3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Payee name, payee acct token</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B2V ACH / Payroll</w:t>
            </w:r>
          </w:p>
        </w:tc>
        <w:tc>
          <w:tcPr>
            <w:tcW w:type="dxa" w:w="11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ACH/RTP</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 acct token, EIN/TIN hash, business name</w:t>
            </w:r>
          </w:p>
        </w:tc>
        <w:tc>
          <w:tcPr>
            <w:tcW w:type="dxa" w:w="3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Employee/vendor acct token, SSN/EIN hash (if available)</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Tap2Local / EPS Card Accept.</w:t>
            </w:r>
          </w:p>
        </w:tc>
        <w:tc>
          <w:tcPr>
            <w:tcW w:type="dxa" w:w="11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Card Networks</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Tokenized PAN (cardholder — acquisition side only)</w:t>
            </w:r>
          </w:p>
        </w:tc>
        <w:tc>
          <w:tcPr>
            <w:tcW w:type="dxa" w:w="3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Merchant profile ID, merchant name, MCC</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Request for Payment</w:t>
            </w:r>
          </w:p>
        </w:tc>
        <w:tc>
          <w:tcPr>
            <w:tcW w:type="dxa" w:w="11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RTP RfP / FedNow RfP</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Requestor acct token, proxy token</w:t>
            </w:r>
          </w:p>
        </w:tc>
        <w:tc>
          <w:tcPr>
            <w:tcW w:type="dxa" w:w="3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Payer proxy token, acct token</w:t>
            </w:r>
          </w:p>
        </w:tc>
      </w:tr>
    </w:tbl>
    <w:p>
      <w:pPr>
        <w:pStyle w:val="Heading2"/>
        <w:spacing w:before="240" w:after="120"/>
      </w:pPr>
      <w:r>
        <w:rPr>
          <w:rFonts w:ascii="Arial" w:cs="Arial" w:eastAsia="Arial" w:hAnsi="Arial"/>
          <w:b/>
          <w:bCs/>
          <w:color w:val="1a73e8"/>
          <w:sz w:val="24"/>
          <w:szCs w:val="24"/>
        </w:rPr>
        <w:t xml:space="preserve">3.3 ACH SEC Code Entity Type Inference</w:t>
      </w:r>
    </w:p>
    <w:p>
      <w:pPr>
        <w:spacing w:before="80" w:after="100"/>
      </w:pPr>
      <w:r>
        <w:rPr>
          <w:rFonts w:ascii="Arial" w:cs="Arial" w:eastAsia="Arial" w:hAnsi="Arial"/>
          <w:sz w:val="22"/>
          <w:szCs w:val="22"/>
        </w:rPr>
        <w:t xml:space="preserve">For ACH payments, the SEC (Standard Entry Class) code is a reliable signal for inferring whether a payment participant is an individual or a business. This drives automatic assignment of entity_type before matching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00"/>
        <w:gridCol w:w="2560"/>
      </w:tblGrid>
      <w:tr>
        <w:trPr>
          <w:tblHeader/>
        </w:trPr>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SEC Code</w:t>
            </w:r>
          </w:p>
        </w:tc>
        <w:tc>
          <w:tcPr>
            <w:tcW w:type="dxa" w:w="30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2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Originator Type</w:t>
            </w:r>
          </w:p>
        </w:tc>
        <w:tc>
          <w:tcPr>
            <w:tcW w:type="dxa" w:w="25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Receiver Type</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PPD</w:t>
            </w:r>
          </w:p>
        </w:tc>
        <w:tc>
          <w:tcPr>
            <w:tcW w:type="dxa" w:w="3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Prearranged Payment &amp; Deposit</w:t>
            </w:r>
          </w:p>
        </w:tc>
        <w:tc>
          <w:tcPr>
            <w:tcW w:type="dxa" w:w="2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w:t>
            </w:r>
          </w:p>
        </w:tc>
        <w:tc>
          <w:tcPr>
            <w:tcW w:type="dxa" w:w="2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INDIVIDUAL</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WEB</w:t>
            </w:r>
          </w:p>
        </w:tc>
        <w:tc>
          <w:tcPr>
            <w:tcW w:type="dxa" w:w="3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Internet-Initiated (consumer)</w:t>
            </w:r>
          </w:p>
        </w:tc>
        <w:tc>
          <w:tcPr>
            <w:tcW w:type="dxa" w:w="2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 or INDIVIDUAL</w:t>
            </w:r>
          </w:p>
        </w:tc>
        <w:tc>
          <w:tcPr>
            <w:tcW w:type="dxa" w:w="2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INDIVIDUAL</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TEL</w:t>
            </w:r>
          </w:p>
        </w:tc>
        <w:tc>
          <w:tcPr>
            <w:tcW w:type="dxa" w:w="3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Telephone-Initiated</w:t>
            </w:r>
          </w:p>
        </w:tc>
        <w:tc>
          <w:tcPr>
            <w:tcW w:type="dxa" w:w="2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 or INDIVIDUAL</w:t>
            </w:r>
          </w:p>
        </w:tc>
        <w:tc>
          <w:tcPr>
            <w:tcW w:type="dxa" w:w="2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INDIVIDUAL</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CCD</w:t>
            </w:r>
          </w:p>
        </w:tc>
        <w:tc>
          <w:tcPr>
            <w:tcW w:type="dxa" w:w="3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Cash Concentration &amp; Disbursement</w:t>
            </w:r>
          </w:p>
        </w:tc>
        <w:tc>
          <w:tcPr>
            <w:tcW w:type="dxa" w:w="2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w:t>
            </w:r>
          </w:p>
        </w:tc>
        <w:tc>
          <w:tcPr>
            <w:tcW w:type="dxa" w:w="2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CTX</w:t>
            </w:r>
          </w:p>
        </w:tc>
        <w:tc>
          <w:tcPr>
            <w:tcW w:type="dxa" w:w="3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Corporate Trade Exchange (EDI)</w:t>
            </w:r>
          </w:p>
        </w:tc>
        <w:tc>
          <w:tcPr>
            <w:tcW w:type="dxa" w:w="2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w:t>
            </w:r>
          </w:p>
        </w:tc>
        <w:tc>
          <w:tcPr>
            <w:tcW w:type="dxa" w:w="2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ARC / POP / BOC</w:t>
            </w:r>
          </w:p>
        </w:tc>
        <w:tc>
          <w:tcPr>
            <w:tcW w:type="dxa" w:w="3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Check conversion (consumer)</w:t>
            </w:r>
          </w:p>
        </w:tc>
        <w:tc>
          <w:tcPr>
            <w:tcW w:type="dxa" w:w="2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w:t>
            </w:r>
          </w:p>
        </w:tc>
        <w:tc>
          <w:tcPr>
            <w:tcW w:type="dxa" w:w="2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INDIVIDUAL</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RCK</w:t>
            </w:r>
          </w:p>
        </w:tc>
        <w:tc>
          <w:tcPr>
            <w:tcW w:type="dxa" w:w="3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Re-presented check</w:t>
            </w:r>
          </w:p>
        </w:tc>
        <w:tc>
          <w:tcPr>
            <w:tcW w:type="dxa" w:w="2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w:t>
            </w:r>
          </w:p>
        </w:tc>
        <w:tc>
          <w:tcPr>
            <w:tcW w:type="dxa" w:w="2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INDIVIDUAL</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IAT</w:t>
            </w:r>
          </w:p>
        </w:tc>
        <w:tc>
          <w:tcPr>
            <w:tcW w:type="dxa" w:w="3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International ACH Transaction</w:t>
            </w:r>
          </w:p>
        </w:tc>
        <w:tc>
          <w:tcPr>
            <w:tcW w:type="dxa" w:w="2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ANY</w:t>
            </w:r>
          </w:p>
        </w:tc>
        <w:tc>
          <w:tcPr>
            <w:tcW w:type="dxa" w:w="2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ANY — foreign</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CIE</w:t>
            </w:r>
          </w:p>
        </w:tc>
        <w:tc>
          <w:tcPr>
            <w:tcW w:type="dxa" w:w="3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Customer-Initiated (online bill pay)</w:t>
            </w:r>
          </w:p>
        </w:tc>
        <w:tc>
          <w:tcPr>
            <w:tcW w:type="dxa" w:w="2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INDIVIDUAL</w:t>
            </w:r>
          </w:p>
        </w:tc>
        <w:tc>
          <w:tcPr>
            <w:tcW w:type="dxa" w:w="2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BUSINESS</w:t>
            </w:r>
          </w:p>
        </w:tc>
      </w:tr>
    </w:tbl>
    <w:p>
      <w:pPr>
        <w:pStyle w:val="Heading2"/>
        <w:spacing w:before="240" w:after="120"/>
      </w:pPr>
      <w:r>
        <w:rPr>
          <w:rFonts w:ascii="Arial" w:cs="Arial" w:eastAsia="Arial" w:hAnsi="Arial"/>
          <w:b/>
          <w:bCs/>
          <w:color w:val="1a73e8"/>
          <w:sz w:val="24"/>
          <w:szCs w:val="24"/>
        </w:rPr>
        <w:t xml:space="preserve">3.4 External Party Profile</w:t>
      </w:r>
    </w:p>
    <w:p>
      <w:pPr>
        <w:spacing w:before="80" w:after="100"/>
      </w:pPr>
      <w:r>
        <w:rPr>
          <w:rFonts w:ascii="Arial" w:cs="Arial" w:eastAsia="Arial" w:hAnsi="Arial"/>
          <w:sz w:val="22"/>
          <w:szCs w:val="22"/>
        </w:rPr>
        <w:t xml:space="preserve">When an identity signal belongs to a party that cannot be matched to a JH FI account holder, the IDR system creates a lightweight External Profile. This is a stripped-down Customer/Member record with source_system = EXTERNAL and a reduced attribute set.</w:t>
      </w:r>
    </w:p>
    <w:p>
      <w:pPr>
        <w:pStyle w:val="ListParagraph"/>
        <w:numPr>
          <w:ilvl w:val="0"/>
          <w:numId w:val="2"/>
        </w:numPr>
        <w:spacing w:before="60" w:after="60"/>
      </w:pPr>
      <w:r>
        <w:rPr>
          <w:rFonts w:ascii="Arial" w:cs="Arial" w:eastAsia="Arial" w:hAnsi="Arial"/>
          <w:sz w:val="22"/>
          <w:szCs w:val="22"/>
        </w:rPr>
        <w:t xml:space="preserve">External Profiles are created with whatever signals are available from the payment (account token, name, address, email/phone if present).</w:t>
      </w:r>
    </w:p>
    <w:p>
      <w:pPr>
        <w:pStyle w:val="ListParagraph"/>
        <w:numPr>
          <w:ilvl w:val="0"/>
          <w:numId w:val="2"/>
        </w:numPr>
        <w:spacing w:before="60" w:after="60"/>
      </w:pPr>
      <w:r>
        <w:rPr>
          <w:rFonts w:ascii="Arial" w:cs="Arial" w:eastAsia="Arial" w:hAnsi="Arial"/>
          <w:sz w:val="22"/>
          <w:szCs w:val="22"/>
        </w:rPr>
        <w:t xml:space="preserve">An External Profile can be promoted to a full Customer/Member entity if the party later opens an account at a JH FI — the idr_customer_id is preserved.</w:t>
      </w:r>
    </w:p>
    <w:p>
      <w:pPr>
        <w:pStyle w:val="ListParagraph"/>
        <w:numPr>
          <w:ilvl w:val="0"/>
          <w:numId w:val="2"/>
        </w:numPr>
        <w:spacing w:before="60" w:after="60"/>
      </w:pPr>
      <w:r>
        <w:rPr>
          <w:rFonts w:ascii="Arial" w:cs="Arial" w:eastAsia="Arial" w:hAnsi="Arial"/>
          <w:sz w:val="22"/>
          <w:szCs w:val="22"/>
        </w:rPr>
        <w:t xml:space="preserve">External Profiles are excluded from Household formation.</w:t>
      </w:r>
    </w:p>
    <w:p>
      <w:pPr>
        <w:pStyle w:val="ListParagraph"/>
        <w:numPr>
          <w:ilvl w:val="0"/>
          <w:numId w:val="2"/>
        </w:numPr>
        <w:spacing w:before="60" w:after="60"/>
      </w:pPr>
      <w:r>
        <w:rPr>
          <w:rFonts w:ascii="Arial" w:cs="Arial" w:eastAsia="Arial" w:hAnsi="Arial"/>
          <w:sz w:val="22"/>
          <w:szCs w:val="22"/>
        </w:rPr>
        <w:t xml:space="preserve">External Profiles flagged as BUSINESS (by SEC code or payment context) are given entity_type = BUSINESS and treated as billers or merchants.</w:t>
      </w:r>
    </w:p>
    <w:p>
      <w:pPr>
        <w:pStyle w:val="Heading2"/>
        <w:spacing w:before="240" w:after="120"/>
      </w:pPr>
      <w:r>
        <w:rPr>
          <w:rFonts w:ascii="Arial" w:cs="Arial" w:eastAsia="Arial" w:hAnsi="Arial"/>
          <w:b/>
          <w:bCs/>
          <w:color w:val="1a73e8"/>
          <w:sz w:val="24"/>
          <w:szCs w:val="24"/>
        </w:rPr>
        <w:t xml:space="preserve">3.5 SilverLake / Symitar Seeding (Baseline Load)</w:t>
      </w:r>
    </w:p>
    <w:p>
      <w:pPr>
        <w:spacing w:before="80" w:after="100"/>
      </w:pPr>
      <w:r>
        <w:rPr>
          <w:rFonts w:ascii="Arial" w:cs="Arial" w:eastAsia="Arial" w:hAnsi="Arial"/>
          <w:sz w:val="22"/>
          <w:szCs w:val="22"/>
        </w:rPr>
        <w:t xml:space="preserve">Implementation begins with a bulk load from the SilverLake and Symitar core banking systems to establish a baseline entity index before live payment event processing starts. The seeding process extracts CIF records, tokenizes PII, derives all applicable blocking keys (BK-1 through BK-5), and writes entity records to the Identity Store in a single migration batch. Seeded entities are assigned resolution_method = SEEDED and profile_completeness = FULL for active account holders. All subsequent payment events resolve against this baseline. The seeding migration is idempotent and re-runnable without creating duplicate entities.</w:t>
      </w:r>
    </w:p>
    <w:p>
      <w:pPr>
        <w:pStyle w:val="Heading1"/>
        <w:spacing w:before="360" w:after="160"/>
      </w:pPr>
      <w:r>
        <w:rPr>
          <w:rFonts w:ascii="Arial" w:cs="Arial" w:eastAsia="Arial" w:hAnsi="Arial"/>
          <w:b/>
          <w:bCs/>
          <w:color w:val="003087"/>
          <w:sz w:val="28"/>
          <w:szCs w:val="28"/>
        </w:rPr>
        <w:t xml:space="preserve">4. Entity Model</w:t>
      </w:r>
    </w:p>
    <w:p>
      <w:pPr>
        <w:spacing w:before="80" w:after="100"/>
      </w:pPr>
      <w:r>
        <w:rPr>
          <w:rFonts w:ascii="Arial" w:cs="Arial" w:eastAsia="Arial" w:hAnsi="Arial"/>
          <w:sz w:val="22"/>
          <w:szCs w:val="22"/>
        </w:rPr>
        <w:t xml:space="preserve">The IDR system manages three primary entity types arranged in a containment hierarchy, plus a JH-global identity link table that operates at a separate level above all FI-scoped entities.</w:t>
      </w:r>
    </w:p>
    <w:p>
      <w:pPr>
        <w:pStyle w:val="Heading2"/>
        <w:spacing w:before="240" w:after="120"/>
      </w:pPr>
      <w:r>
        <w:rPr>
          <w:rFonts w:ascii="Arial" w:cs="Arial" w:eastAsia="Arial" w:hAnsi="Arial"/>
          <w:b/>
          <w:bCs/>
          <w:color w:val="1a73e8"/>
          <w:sz w:val="24"/>
          <w:szCs w:val="24"/>
        </w:rPr>
        <w:t xml:space="preserve">4.1 Entity Hierarchy</w:t>
      </w:r>
    </w:p>
    <w:p>
      <w:pPr>
        <w:pStyle w:val="Heading2"/>
        <w:spacing w:before="240" w:after="120"/>
      </w:pPr>
      <w:r>
        <w:rPr>
          <w:rFonts w:ascii="Arial" w:cs="Arial" w:eastAsia="Arial" w:hAnsi="Arial"/>
          <w:b/>
          <w:bCs/>
          <w:color w:val="1a73e8"/>
          <w:sz w:val="24"/>
          <w:szCs w:val="24"/>
        </w:rPr>
        <w:t xml:space="preserve">4.2 Account Entity</w:t>
      </w:r>
    </w:p>
    <w:p>
      <w:pPr>
        <w:spacing w:before="80" w:after="100"/>
      </w:pPr>
      <w:r>
        <w:rPr>
          <w:rFonts w:ascii="Arial" w:cs="Arial" w:eastAsia="Arial" w:hAnsi="Arial"/>
          <w:sz w:val="22"/>
          <w:szCs w:val="22"/>
        </w:rPr>
        <w:t xml:space="preserve">An Account is the atomic payment-eligible unit. All payment events are anchored to an Account before roll-up to Customer/Member. Accounts may belong to JH FI account holders (full entity) or represent External Party profiles (stub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idr_account_id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UUID</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Canonical IDR account identifier. Stable across product updates.</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source_system</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Originating product: SILVERLAKE, ACH_EPS, PAYCENTER, PAYRAILZ, IPAY, WIRES, RDC, BANNO, BIZPAY, TAP2LOCAL, EXTERNAL.</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source_account_id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Native account identifier in the source system.</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account_type</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DDA, SAVINGS, LOAN, EXTERNAL_DDA, WIRE_BENEFICIARY, ACH_ORIGINATED, BILLER, MERCHANT, OTHER.</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routing_number</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ABA routing (9-digit). SWIFT BIC stored separately for international wires.</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account_number</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Stored in plaintext. Protected by PostgreSQL Row-Level Security (fi_id scoping). Not tokenized.</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swift_bic</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SWIFT BIC for international wire beneficiary accounts. Null otherwise.</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fi_id</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Jack Henry client FI identifier. Scoping key for all tenant isolation.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party_profile_type</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FULL (JH account holder), EXTERNAL (counterparty), BILLER, MERCHANT.</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status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ACTIVE, CLOSED, MERGED, SUSPECT.</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confidence_score</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Float[0,1]</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Resolution confidence of link to Customer/Member entity.</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created_at / updated_at</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Timestamp</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Record lifecycle timestamps (UTC).</w:t>
            </w:r>
          </w:p>
        </w:tc>
      </w:tr>
    </w:tbl>
    <w:p>
      <w:pPr>
        <w:pStyle w:val="Heading2"/>
        <w:spacing w:before="240" w:after="120"/>
      </w:pPr>
      <w:r>
        <w:rPr>
          <w:rFonts w:ascii="Arial" w:cs="Arial" w:eastAsia="Arial" w:hAnsi="Arial"/>
          <w:b/>
          <w:bCs/>
          <w:color w:val="1a73e8"/>
          <w:sz w:val="24"/>
          <w:szCs w:val="24"/>
        </w:rPr>
        <w:t xml:space="preserve">4.3 Customer / Member Entity</w:t>
      </w:r>
    </w:p>
    <w:p>
      <w:pPr>
        <w:spacing w:before="80" w:after="100"/>
      </w:pPr>
      <w:r>
        <w:rPr>
          <w:rFonts w:ascii="Arial" w:cs="Arial" w:eastAsia="Arial" w:hAnsi="Arial"/>
          <w:sz w:val="22"/>
          <w:szCs w:val="22"/>
        </w:rPr>
        <w:t xml:space="preserve">A Customer (bank) or Member (credit union) is the primary resolution target — a resolved individual or business with one or more associated accounts. Both JH FI account holders and external counterparties resolve to this entity type (with different profile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idr_customer_id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UUID</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Canonical FI-scoped IDR customer identifier.</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idr_global_person_id</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UUID / null</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FK to JH-Global Identity Link. Null until a cross-FI match is confirmed. Populated by internal JHBI process only.</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entity_type</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INDIVIDUAL, BUSINESS, TRUST, OTHER.</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profile_completeness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FULL (JH account holder with core data), EXTERNAL (payment-data only), BILLER, MERCHANT.</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name_normalized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Lowercase, punctuation-stripped, whitespace-collapsed full name.</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ssn_tin</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Plaintext</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Stored in plaintext. Protected by RLS. Hashed at runtime (SHA-256 with fi_id salt) for blocking key derivation. Hash never persisted.</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dob</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Date</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Date of birth (individuals only). Used for disambiguation.</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email_tokens[]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Plaintext email addresses (lowercase normalized). Protected by RLS.</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phone_tokens[]</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E.164 phone numbers stored in plaintext. Protected by RLS.</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zelle_tokens[]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Zelle registration tokens (email or phone, Zelle-network verified).</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address_canonical</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Object</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USPS-normalized address. Used for household clustering.</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fi_id</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FI tenant identifier. Hard scoping key.</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source_ids[]</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Array</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List of {source_system, source_id} resolved to this entity.</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idr_household_id</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UUID/null</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FK to Household. Null for EXTERNAL, BILLER, MERCHANT profiles.</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resolution_method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EXACT_SSN, EXACT_ACCOUNT, EXACT_EMAIL, EXACT_PHONE, EXACT_ZELLE, EXACT_CORE_CIF, INFERRED_NAME_ZIP, EXTERNAL_STUB, MANUAL.</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confidence_score</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Float[0,1]</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Resolution confidence. See Section 5 (Blocking and Bucketing).</w:t>
            </w:r>
          </w:p>
        </w:tc>
      </w:tr>
    </w:tbl>
    <w:p>
      <w:pPr>
        <w:pStyle w:val="Heading2"/>
        <w:spacing w:before="240" w:after="120"/>
      </w:pPr>
      <w:r>
        <w:rPr>
          <w:rFonts w:ascii="Arial" w:cs="Arial" w:eastAsia="Arial" w:hAnsi="Arial"/>
          <w:b/>
          <w:bCs/>
          <w:color w:val="1a73e8"/>
          <w:sz w:val="24"/>
          <w:szCs w:val="24"/>
        </w:rPr>
        <w:t xml:space="preserve">4.4 Household Entity</w:t>
      </w:r>
    </w:p>
    <w:p>
      <w:pPr>
        <w:spacing w:before="80" w:after="100"/>
      </w:pPr>
      <w:r>
        <w:rPr>
          <w:rFonts w:ascii="Arial" w:cs="Arial" w:eastAsia="Arial" w:hAnsi="Arial"/>
          <w:sz w:val="22"/>
          <w:szCs w:val="22"/>
        </w:rPr>
        <w:t xml:space="preserve">A Household groups two or more FULL-profile Customer/Member individuals at the same FI who share a primary address and/or have a declared relationship. External, Biller, and Merchant profiles are never assigned to households.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idr_household_id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UUID</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Canonical IDR household identifier.</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primary_address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Object</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USPS-normalized address defining the household anchor.</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member_customer_ids[]</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UUID[]</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Array of idr_customer_id values in this household. Min 2.</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formation_method</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JOINT_ACCOUNT, SHARED_ADDRESS, DECLARED_RELATIONSHIP, MANUAL.</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fi_id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String</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FI tenant identifier.</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status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ACTIVE, DISSOLVED, SUSPECT.</w:t>
            </w:r>
          </w:p>
        </w:tc>
      </w:tr>
    </w:tbl>
    <w:p>
      <w:pPr>
        <w:pStyle w:val="Heading2"/>
        <w:spacing w:before="240" w:after="120"/>
      </w:pPr>
      <w:r>
        <w:rPr>
          <w:rFonts w:ascii="Arial" w:cs="Arial" w:eastAsia="Arial" w:hAnsi="Arial"/>
          <w:b/>
          <w:bCs/>
          <w:color w:val="1a73e8"/>
          <w:sz w:val="24"/>
          <w:szCs w:val="24"/>
        </w:rPr>
        <w:t xml:space="preserve">4.5 JH-Global Identity Link Table</w:t>
      </w:r>
    </w:p>
    <w:p>
      <w:pPr>
        <w:spacing w:before="80" w:after="100"/>
      </w:pPr>
      <w:r>
        <w:rPr>
          <w:rFonts w:ascii="Arial" w:cs="Arial" w:eastAsia="Arial" w:hAnsi="Arial"/>
          <w:sz w:val="22"/>
          <w:szCs w:val="22"/>
        </w:rPr>
        <w:t xml:space="preserve">The Global Identity Link is an internal-only table that records cross-FI matches. It contains no PII — only mappings of FI-scoped entity IDs to a global person ID, along with the signal that produced the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idr_global_person_id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UUID</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JH-wide identity identifier. Assigned once; never changes.</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linked_customer_ids[]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Array</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List of {fi_id, idr_customer_id} that resolved to this global person.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match_signal</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The signal that produced the cross-FI link: BK1 (SHA-256(SSN + platform_salt) computed at runtime) or BK2 (account_number + ‘:’ + routing_number, plaintext comparison).</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confidence_score</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Float[0,1]</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Always &gt;= 0.95. Only Tier-1 and Tier-2 signals qualify.</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access_scope</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Enum</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JHBI_INTERNAL_ONLY. Never returned by external Query API.</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created_at</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Timestamp</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Timestamp of global link creation.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7333" w:sz="8"/>
              <w:left w:val="single" w:color="137333" w:sz="8"/>
              <w:bottom w:val="none"/>
              <w:right w:val="single" w:color="137333" w:sz="8"/>
            </w:tcBorders>
            <w:shd w:fill="137333" w:val="clear"/>
            <w:tcMar>
              <w:top w:type="dxa" w:w="80"/>
              <w:left w:type="dxa" w:w="120"/>
              <w:bottom w:type="dxa" w:w="60"/>
              <w:right w:type="dxa" w:w="120"/>
            </w:tcMar>
          </w:tcPr>
          <w:p>
            <w:r>
              <w:rPr>
                <w:rFonts w:ascii="Arial" w:cs="Arial" w:eastAsia="Arial" w:hAnsi="Arial"/>
                <w:b/>
                <w:bCs/>
                <w:color w:val="FFFFFF"/>
                <w:sz w:val="22"/>
                <w:szCs w:val="22"/>
              </w:rPr>
              <w:t xml:space="preserve">Privacy Guarantee</w:t>
            </w:r>
          </w:p>
        </w:tc>
      </w:tr>
      <w:tr>
        <w:tc>
          <w:tcPr>
            <w:tcW w:type="dxa" w:w="9360"/>
            <w:tcBorders>
              <w:top w:val="none"/>
              <w:left w:val="single" w:color="137333" w:sz="8"/>
              <w:bottom w:val="single" w:color="137333" w:sz="8"/>
              <w:right w:val="single" w:color="137333" w:sz="8"/>
            </w:tcBorders>
            <w:shd w:fill="e8f5e9" w:val="clear"/>
            <w:tcMar>
              <w:top w:type="dxa" w:w="80"/>
              <w:left w:type="dxa" w:w="120"/>
              <w:bottom w:type="dxa" w:w="80"/>
              <w:right w:type="dxa" w:w="120"/>
            </w:tcMar>
          </w:tcPr>
          <w:p>
            <w:r>
              <w:rPr>
                <w:rFonts w:ascii="Arial" w:cs="Arial" w:eastAsia="Arial" w:hAnsi="Arial"/>
                <w:sz w:val="22"/>
                <w:szCs w:val="22"/>
              </w:rPr>
              <w:t xml:space="preserve">The Global Identity Link never copies FI data. FI-A cannot query FI-B’s entity through this table. JHBI analytics joins the global person ID with each FI’s scoped data under separate access grants. The link itself carries only UUID references and a token match signal — both of which are non-reversible without the per-FI tokenization keys.</w:t>
            </w:r>
          </w:p>
        </w:tc>
      </w:tr>
    </w:tbl>
    <w:p>
      <w:pPr>
        <w:pStyle w:val="Heading1"/>
        <w:spacing w:before="360" w:after="160"/>
      </w:pPr>
      <w:r>
        <w:rPr>
          <w:rFonts w:ascii="Arial" w:cs="Arial" w:eastAsia="Arial" w:hAnsi="Arial"/>
          <w:b/>
          <w:bCs/>
          <w:color w:val="003087"/>
          <w:sz w:val="28"/>
          <w:szCs w:val="28"/>
        </w:rPr>
        <w:t xml:space="preserve">5. Blocking and Bucketing Strategy</w:t>
      </w:r>
    </w:p>
    <w:p>
      <w:pPr>
        <w:spacing w:before="80" w:after="100"/>
      </w:pPr>
      <w:r>
        <w:rPr>
          <w:rFonts w:ascii="Arial" w:cs="Arial" w:eastAsia="Arial" w:hAnsi="Arial"/>
          <w:sz w:val="22"/>
          <w:szCs w:val="22"/>
        </w:rPr>
        <w:t xml:space="preserve">Blocking and bucketing are the two core mechanisms that make identity resolution efficient and auditable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Term</w:t>
            </w:r>
          </w:p>
        </w:tc>
        <w:tc>
          <w:tcPr>
            <w:tcW w:type="dxa" w:w="7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r>
      <w:tr>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Blocking</w:t>
            </w:r>
          </w:p>
        </w:tc>
        <w:tc>
          <w:tcPr>
            <w:tcW w:type="dxa" w:w="7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Groups of records that are candidates for comparison. A pair of records can only be matched if they share at least one blocking key. Avoids O(N²) comparison of all records against all others.</w:t>
            </w:r>
          </w:p>
        </w:tc>
      </w:tr>
      <w:tr>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Bucketing</w:t>
            </w:r>
          </w:p>
        </w:tc>
        <w:tc>
          <w:tcPr>
            <w:tcW w:type="dxa" w:w="7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Confidence tiers assigned to a match based on which blocking key(s) produced it. Each bucket has a defined confidence score and resolution method label. Determines whether a match auto-merges, auto-creates, or goes to manual review.</w:t>
            </w:r>
          </w:p>
        </w:tc>
      </w:tr>
    </w:tbl>
    <w:p>
      <w:pPr>
        <w:pStyle w:val="Heading2"/>
        <w:spacing w:before="240" w:after="120"/>
      </w:pPr>
      <w:r>
        <w:rPr>
          <w:rFonts w:ascii="Arial" w:cs="Arial" w:eastAsia="Arial" w:hAnsi="Arial"/>
          <w:b/>
          <w:bCs/>
          <w:color w:val="1a73e8"/>
          <w:sz w:val="24"/>
          <w:szCs w:val="24"/>
        </w:rPr>
        <w:t xml:space="preserve">5.1 Blocking Keys</w:t>
      </w:r>
    </w:p>
    <w:p>
      <w:pPr>
        <w:spacing w:before="80" w:after="100"/>
      </w:pPr>
      <w:r>
        <w:rPr>
          <w:rFonts w:ascii="Arial" w:cs="Arial" w:eastAsia="Arial" w:hAnsi="Arial"/>
          <w:sz w:val="22"/>
          <w:szCs w:val="22"/>
        </w:rPr>
        <w:t xml:space="preserve">The following blocking keys are defined. Each key is derived from one or more identity signals. Multiple blocking keys may apply to the same party — the strongest key governs the final bucket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3660"/>
      </w:tblGrid>
      <w:tr>
        <w:trPr>
          <w:tblHeader/>
        </w:trPr>
        <w:tc>
          <w:tcPr>
            <w:tcW w:type="dxa" w:w="7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Key</w:t>
            </w:r>
          </w:p>
        </w:tc>
        <w:tc>
          <w:tcPr>
            <w:tcW w:type="dxa" w:w="16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3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Derived From</w:t>
            </w:r>
          </w:p>
        </w:tc>
        <w:tc>
          <w:tcPr>
            <w:tcW w:type="dxa" w:w="36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Available For</w:t>
            </w:r>
          </w:p>
        </w:tc>
      </w:tr>
      <w:tr>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BK-1</w:t>
            </w:r>
          </w:p>
        </w:tc>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SSN / TIN Hash</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SHA-256(SSN or EIN + fi_id) computed at resolution time from plaintext SSN/EIN</w:t>
            </w:r>
          </w:p>
        </w:tc>
        <w:tc>
          <w:tcPr>
            <w:tcW w:type="dxa" w:w="36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 account holders via core (SilverLake/Symitar); B2B EIN via ACH</w:t>
            </w:r>
          </w:p>
        </w:tc>
      </w:tr>
      <w:tr>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BK-2</w:t>
            </w:r>
          </w:p>
        </w:tc>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 + Routing Token</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account_number + ‘:’ + routing_number (plaintext; generated column bk2_key)</w:t>
            </w:r>
          </w:p>
        </w:tc>
        <w:tc>
          <w:tcPr>
            <w:tcW w:type="dxa" w:w="36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ACH, Wire, Check/RDC, A2A, P2P (enrolled), RTP, FedNow, B2B</w:t>
            </w:r>
          </w:p>
        </w:tc>
      </w:tr>
      <w:tr>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BK-3</w:t>
            </w:r>
          </w:p>
        </w:tc>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Email Token</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Lowercase-normalized email stored in plaintext; direct equality match within FI</w:t>
            </w:r>
          </w:p>
        </w:tc>
        <w:tc>
          <w:tcPr>
            <w:tcW w:type="dxa" w:w="36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Banno, Payrailz, iPay, RTP/FedNow proxy, Zelle (email-enrolled)</w:t>
            </w:r>
          </w:p>
        </w:tc>
      </w:tr>
      <w:tr>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BK-4</w:t>
            </w:r>
          </w:p>
        </w:tc>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Phone / Zelle Token</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E.164-normalized phone stored in plaintext; direct equality match within FI</w:t>
            </w:r>
          </w:p>
        </w:tc>
        <w:tc>
          <w:tcPr>
            <w:tcW w:type="dxa" w:w="36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Zelle, Payrailz P2P, RTP/FedNow proxy, Banno</w:t>
            </w:r>
          </w:p>
        </w:tc>
      </w:tr>
      <w:tr>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BK-5</w:t>
            </w:r>
          </w:p>
        </w:tc>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Core CIF</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source_system + source_customer_id from SilverLake/Symitar</w:t>
            </w:r>
          </w:p>
        </w:tc>
        <w:tc>
          <w:tcPr>
            <w:tcW w:type="dxa" w:w="36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All payments linked to a core account holder</w:t>
            </w:r>
          </w:p>
        </w:tc>
      </w:tr>
      <w:tr>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BK-6</w:t>
            </w:r>
          </w:p>
        </w:tc>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Name + Zip5</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name_normalized + zip5 (not PII-sensitive)</w:t>
            </w:r>
          </w:p>
        </w:tc>
        <w:tc>
          <w:tcPr>
            <w:tcW w:type="dxa" w:w="36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Wire beneficiaries, check payees, external ACH parties (weak — secondary only). NEVER used as sole blocking key.</w:t>
            </w:r>
          </w:p>
        </w:tc>
      </w:tr>
      <w:tr>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BK-7</w:t>
            </w:r>
          </w:p>
        </w:tc>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SWIFT BIC + Account Token</w:t>
            </w:r>
          </w:p>
        </w:tc>
        <w:tc>
          <w:tcPr>
            <w:tcW w:type="dxa" w:w="3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SWIFT BIC + ‘:’ + IBAN (both stored plaintext in idr_account)</w:t>
            </w:r>
          </w:p>
        </w:tc>
        <w:tc>
          <w:tcPr>
            <w:tcW w:type="dxa" w:w="36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International wires only</w:t>
            </w:r>
          </w:p>
        </w:tc>
      </w:tr>
      <w:tr>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BK-8</w:t>
            </w:r>
          </w:p>
        </w:tc>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Tokenized PAN</w:t>
            </w:r>
          </w:p>
        </w:tc>
        <w:tc>
          <w:tcPr>
            <w:tcW w:type="dxa" w:w="3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FPE(PAN) via PCI Vault — ONLY field that is tokenized. Card network token where available from Moov/Tap2Local.</w:t>
            </w:r>
          </w:p>
        </w:tc>
        <w:tc>
          <w:tcPr>
            <w:tcW w:type="dxa" w:w="36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Tap2Local, EPS gateway, iPay CardPay. Limited — no issuing data (CPS excluded).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7400" w:sz="8"/>
              <w:left w:val="single" w:color="e37400" w:sz="8"/>
              <w:bottom w:val="none"/>
              <w:right w:val="single" w:color="e37400" w:sz="8"/>
            </w:tcBorders>
            <w:shd w:fill="e37400" w:val="clear"/>
            <w:tcMar>
              <w:top w:type="dxa" w:w="80"/>
              <w:left w:type="dxa" w:w="120"/>
              <w:bottom w:type="dxa" w:w="60"/>
              <w:right w:type="dxa" w:w="120"/>
            </w:tcMar>
          </w:tcPr>
          <w:p>
            <w:r>
              <w:rPr>
                <w:rFonts w:ascii="Arial" w:cs="Arial" w:eastAsia="Arial" w:hAnsi="Arial"/>
                <w:b/>
                <w:bCs/>
                <w:color w:val="FFFFFF"/>
                <w:sz w:val="22"/>
                <w:szCs w:val="22"/>
              </w:rPr>
              <w:t xml:space="preserve">Rule: BK-6 (Name + Zip5) is never used as a standalone blocking key.</w:t>
            </w:r>
          </w:p>
        </w:tc>
      </w:tr>
      <w:tr>
        <w:tc>
          <w:tcPr>
            <w:tcW w:type="dxa" w:w="9360"/>
            <w:tcBorders>
              <w:top w:val="none"/>
              <w:left w:val="single" w:color="e37400" w:sz="8"/>
              <w:bottom w:val="single" w:color="e37400" w:sz="8"/>
              <w:right w:val="single" w:color="e37400" w:sz="8"/>
            </w:tcBorders>
            <w:shd w:fill="fff8e1" w:val="clear"/>
            <w:tcMar>
              <w:top w:type="dxa" w:w="80"/>
              <w:left w:type="dxa" w:w="120"/>
              <w:bottom w:type="dxa" w:w="80"/>
              <w:right w:type="dxa" w:w="120"/>
            </w:tcMar>
          </w:tcPr>
          <w:p>
            <w:r>
              <w:rPr>
                <w:rFonts w:ascii="Arial" w:cs="Arial" w:eastAsia="Arial" w:hAnsi="Arial"/>
                <w:sz w:val="22"/>
                <w:szCs w:val="22"/>
              </w:rPr>
              <w:t xml:space="preserve">It may only be used as a secondary confirmation signal when at least one stronger key (BK-1 through BK-5) is already present. This prevents false positives from common names and avoids creating low-quality External Profiles at scale.</w:t>
            </w:r>
          </w:p>
        </w:tc>
      </w:tr>
    </w:tbl>
    <w:p>
      <w:pPr>
        <w:pStyle w:val="Heading2"/>
        <w:spacing w:before="240" w:after="120"/>
      </w:pPr>
      <w:r>
        <w:rPr>
          <w:rFonts w:ascii="Arial" w:cs="Arial" w:eastAsia="Arial" w:hAnsi="Arial"/>
          <w:b/>
          <w:bCs/>
          <w:color w:val="1a73e8"/>
          <w:sz w:val="24"/>
          <w:szCs w:val="24"/>
        </w:rPr>
        <w:t xml:space="preserve">5.2 Confidence Buckets</w:t>
      </w:r>
    </w:p>
    <w:p>
      <w:pPr>
        <w:spacing w:before="80" w:after="100"/>
      </w:pPr>
      <w:r>
        <w:rPr>
          <w:rFonts w:ascii="Arial" w:cs="Arial" w:eastAsia="Arial" w:hAnsi="Arial"/>
          <w:sz w:val="22"/>
          <w:szCs w:val="22"/>
        </w:rPr>
        <w:t xml:space="preserve">Each blocking key match maps to a confidence bucket. The bucket determines whether the system auto-merges, creates a new entity, or routes to manual review. Buckets are evaluated in tier order — the highest applicable tier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260"/>
        <w:gridCol w:w="4000"/>
      </w:tblGrid>
      <w:tr>
        <w:trPr>
          <w:tblHeader/>
        </w:trPr>
        <w:tc>
          <w:tcPr>
            <w:tcW w:type="dxa" w:w="7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Tier</w:t>
            </w:r>
          </w:p>
        </w:tc>
        <w:tc>
          <w:tcPr>
            <w:tcW w:type="dxa" w:w="1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Label</w:t>
            </w:r>
          </w:p>
        </w:tc>
        <w:tc>
          <w:tcPr>
            <w:tcW w:type="dxa" w:w="1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Confidence</w:t>
            </w:r>
          </w:p>
        </w:tc>
        <w:tc>
          <w:tcPr>
            <w:tcW w:type="dxa" w:w="22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Blocking Key(s)</w:t>
            </w:r>
          </w:p>
        </w:tc>
        <w:tc>
          <w:tcPr>
            <w:tcW w:type="dxa" w:w="40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Auto-Action</w:t>
            </w:r>
          </w:p>
        </w:tc>
      </w:tr>
      <w:tr>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1</w:t>
            </w:r>
          </w:p>
        </w:tc>
        <w:tc>
          <w:tcPr>
            <w:tcW w:type="dxa" w:w="1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DEFINITIVE</w:t>
            </w:r>
          </w:p>
        </w:tc>
        <w:tc>
          <w:tcPr>
            <w:tcW w:type="dxa" w:w="1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1.0</w:t>
            </w:r>
          </w:p>
        </w:tc>
        <w:tc>
          <w:tcPr>
            <w:tcW w:type="dxa" w:w="2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BK-1 (SSN/TIN hash)</w:t>
            </w:r>
          </w:p>
        </w:tc>
        <w:tc>
          <w:tcPr>
            <w:tcW w:type="dxa" w:w="4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Auto-merge. resolution_method = EXACT_SSN. No review needed.</w:t>
            </w:r>
          </w:p>
        </w:tc>
      </w:tr>
      <w:tr>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w:t>
            </w:r>
          </w:p>
        </w:tc>
        <w:tc>
          <w:tcPr>
            <w:tcW w:type="dxa" w:w="1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HIGH</w:t>
            </w:r>
          </w:p>
        </w:tc>
        <w:tc>
          <w:tcPr>
            <w:tcW w:type="dxa" w:w="1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0.90 – 0.99</w:t>
            </w:r>
          </w:p>
        </w:tc>
        <w:tc>
          <w:tcPr>
            <w:tcW w:type="dxa" w:w="2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BK-2 (acct+routing) or BK-5 (core CIF)</w:t>
            </w:r>
          </w:p>
        </w:tc>
        <w:tc>
          <w:tcPr>
            <w:tcW w:type="dxa" w:w="4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Auto-merge. resolution_method = EXACT_ACCOUNT or EXACT_CORE_CIF.</w:t>
            </w:r>
          </w:p>
        </w:tc>
      </w:tr>
      <w:tr>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3</w:t>
            </w:r>
          </w:p>
        </w:tc>
        <w:tc>
          <w:tcPr>
            <w:tcW w:type="dxa" w:w="1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VERIFIED</w:t>
            </w:r>
          </w:p>
        </w:tc>
        <w:tc>
          <w:tcPr>
            <w:tcW w:type="dxa" w:w="1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0.85 – 0.92</w:t>
            </w:r>
          </w:p>
        </w:tc>
        <w:tc>
          <w:tcPr>
            <w:tcW w:type="dxa" w:w="2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BK-3 (email) or BK-4 (phone/Zelle) — verified only</w:t>
            </w:r>
          </w:p>
        </w:tc>
        <w:tc>
          <w:tcPr>
            <w:tcW w:type="dxa" w:w="4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Auto-merge if no conflicting BK-1 exists; route to manual review queue if conflict found.</w:t>
            </w:r>
          </w:p>
        </w:tc>
      </w:tr>
      <w:tr>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4</w:t>
            </w:r>
          </w:p>
        </w:tc>
        <w:tc>
          <w:tcPr>
            <w:tcW w:type="dxa" w:w="1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INFERRED</w:t>
            </w:r>
          </w:p>
        </w:tc>
        <w:tc>
          <w:tcPr>
            <w:tcW w:type="dxa" w:w="1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0.65 – 0.84</w:t>
            </w:r>
          </w:p>
        </w:tc>
        <w:tc>
          <w:tcPr>
            <w:tcW w:type="dxa" w:w="2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BK-6 + one additional weak signal (e.g., DOB or partial acct)</w:t>
            </w:r>
          </w:p>
        </w:tc>
        <w:tc>
          <w:tcPr>
            <w:tcW w:type="dxa" w:w="4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Create new External Profile stub or flag SUSPECT. Do NOT auto-merge into an existing FULL entity.</w:t>
            </w:r>
          </w:p>
        </w:tc>
      </w:tr>
      <w:tr>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5</w:t>
            </w:r>
          </w:p>
        </w:tc>
        <w:tc>
          <w:tcPr>
            <w:tcW w:type="dxa" w:w="1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UNRESOLVED</w:t>
            </w:r>
          </w:p>
        </w:tc>
        <w:tc>
          <w:tcPr>
            <w:tcW w:type="dxa" w:w="1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&lt; 0.65</w:t>
            </w:r>
          </w:p>
        </w:tc>
        <w:tc>
          <w:tcPr>
            <w:tcW w:type="dxa" w:w="2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No blocking key match</w:t>
            </w:r>
          </w:p>
        </w:tc>
        <w:tc>
          <w:tcPr>
            <w:tcW w:type="dxa" w:w="4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Create minimal External Profile stub with available signals. resolution_method = EXTERNAL_STUB.</w:t>
            </w:r>
          </w:p>
        </w:tc>
      </w:tr>
    </w:tbl>
    <w:p>
      <w:pPr>
        <w:pStyle w:val="Heading2"/>
        <w:spacing w:before="240" w:after="120"/>
      </w:pPr>
      <w:r>
        <w:rPr>
          <w:rFonts w:ascii="Arial" w:cs="Arial" w:eastAsia="Arial" w:hAnsi="Arial"/>
          <w:b/>
          <w:bCs/>
          <w:color w:val="1a73e8"/>
          <w:sz w:val="24"/>
          <w:szCs w:val="24"/>
        </w:rPr>
        <w:t xml:space="preserve">5.3 Blocking Key Coverage by Payment Product</w:t>
      </w:r>
    </w:p>
    <w:p>
      <w:pPr>
        <w:spacing w:before="80" w:after="100"/>
      </w:pPr>
      <w:r>
        <w:rPr>
          <w:rFonts w:ascii="Arial" w:cs="Arial" w:eastAsia="Arial" w:hAnsi="Arial"/>
          <w:sz w:val="22"/>
          <w:szCs w:val="22"/>
        </w:rPr>
        <w:t xml:space="preserve">The following matrix shows which blocking keys are available for each in-scope payment product. A checkmark indicates the signal is typically present; a tilde indicates it is present only in some configurations.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800"/>
        <w:gridCol w:w="800"/>
        <w:gridCol w:w="700"/>
        <w:gridCol w:w="800"/>
        <w:gridCol w:w="700"/>
        <w:gridCol w:w="1460"/>
      </w:tblGrid>
      <w:tr>
        <w:trPr>
          <w:tblHeader/>
        </w:trPr>
        <w:tc>
          <w:tcPr>
            <w:tcW w:type="dxa" w:w="18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Product</w:t>
            </w:r>
          </w:p>
        </w:tc>
        <w:tc>
          <w:tcPr>
            <w:tcW w:type="dxa" w:w="7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BK-1 SSN</w:t>
            </w:r>
          </w:p>
        </w:tc>
        <w:tc>
          <w:tcPr>
            <w:tcW w:type="dxa" w:w="7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BK-2 Acct</w:t>
            </w:r>
          </w:p>
        </w:tc>
        <w:tc>
          <w:tcPr>
            <w:tcW w:type="dxa" w:w="8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BK-3 Email</w:t>
            </w:r>
          </w:p>
        </w:tc>
        <w:tc>
          <w:tcPr>
            <w:tcW w:type="dxa" w:w="8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BK-4 Phone</w:t>
            </w:r>
          </w:p>
        </w:tc>
        <w:tc>
          <w:tcPr>
            <w:tcW w:type="dxa" w:w="7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BK-5 Core</w:t>
            </w:r>
          </w:p>
        </w:tc>
        <w:tc>
          <w:tcPr>
            <w:tcW w:type="dxa" w:w="8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BK-6 Name+Zip</w:t>
            </w:r>
          </w:p>
        </w:tc>
        <w:tc>
          <w:tcPr>
            <w:tcW w:type="dxa" w:w="7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BK-7 SWIFT</w:t>
            </w:r>
          </w:p>
        </w:tc>
        <w:tc>
          <w:tcPr>
            <w:tcW w:type="dxa" w:w="14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Dominant Tier</w:t>
            </w:r>
          </w:p>
        </w:tc>
      </w:tr>
      <w:tr>
        <w:tc>
          <w:tcPr>
            <w:tcW w:type="dxa" w:w="1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SilverLake/Symitar</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1</w:t>
            </w:r>
          </w:p>
        </w:tc>
      </w:tr>
      <w:tr>
        <w:tc>
          <w:tcPr>
            <w:tcW w:type="dxa" w:w="1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ACH (EPS/iPay)</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w:t>
            </w:r>
          </w:p>
        </w:tc>
      </w:tr>
      <w:tr>
        <w:tc>
          <w:tcPr>
            <w:tcW w:type="dxa" w:w="1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JHA Wires (domestic)</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w:t>
            </w:r>
          </w:p>
        </w:tc>
      </w:tr>
      <w:tr>
        <w:tc>
          <w:tcPr>
            <w:tcW w:type="dxa" w:w="1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JHA Wires (intl)</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1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4–5</w:t>
            </w:r>
          </w:p>
        </w:tc>
      </w:tr>
      <w:tr>
        <w:tc>
          <w:tcPr>
            <w:tcW w:type="dxa" w:w="1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JHA PayCenter (RTP/FedNow)</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2–3</w:t>
            </w:r>
          </w:p>
        </w:tc>
      </w:tr>
      <w:tr>
        <w:tc>
          <w:tcPr>
            <w:tcW w:type="dxa" w:w="1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PayCenter Zelle</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2–3</w:t>
            </w:r>
          </w:p>
        </w:tc>
      </w:tr>
      <w:tr>
        <w:tc>
          <w:tcPr>
            <w:tcW w:type="dxa" w:w="1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Payrailz P2P/A2A/Bill</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2–3</w:t>
            </w:r>
          </w:p>
        </w:tc>
      </w:tr>
      <w:tr>
        <w:tc>
          <w:tcPr>
            <w:tcW w:type="dxa" w:w="1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iPay Bill Pay</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2–3</w:t>
            </w:r>
          </w:p>
        </w:tc>
      </w:tr>
      <w:tr>
        <w:tc>
          <w:tcPr>
            <w:tcW w:type="dxa" w:w="1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EPS Check/RDC</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 (orig), Tier 4 (dest)</w:t>
            </w:r>
          </w:p>
        </w:tc>
      </w:tr>
      <w:tr>
        <w:tc>
          <w:tcPr>
            <w:tcW w:type="dxa" w:w="1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Banno</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2–3</w:t>
            </w:r>
          </w:p>
        </w:tc>
      </w:tr>
      <w:tr>
        <w:tc>
          <w:tcPr>
            <w:tcW w:type="dxa" w:w="1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Biz Payment Solutions</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t>
            </w:r>
          </w:p>
        </w:tc>
        <w:tc>
          <w:tcPr>
            <w:tcW w:type="dxa" w:w="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1–2</w:t>
            </w:r>
          </w:p>
        </w:tc>
      </w:tr>
      <w:tr>
        <w:tc>
          <w:tcPr>
            <w:tcW w:type="dxa" w:w="1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Tap2Local / EPS Gateway</w:t>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
            </w:r>
          </w:p>
        </w:tc>
        <w:tc>
          <w:tcPr>
            <w:tcW w:type="dxa" w:w="14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5 (card acq. only)</w:t>
            </w:r>
          </w:p>
        </w:tc>
      </w:tr>
    </w:tbl>
    <w:p>
      <w:pPr>
        <w:spacing w:before="80" w:after="80"/>
      </w:pPr>
    </w:p>
    <w:p>
      <w:pPr>
        <w:spacing w:before="80" w:after="100"/>
      </w:pPr>
      <w:r>
        <w:rPr>
          <w:rFonts w:ascii="Arial" w:cs="Arial" w:eastAsia="Arial" w:hAnsi="Arial"/>
          <w:sz w:val="22"/>
          <w:szCs w:val="22"/>
        </w:rPr>
        <w:t xml:space="preserve">Tap2Local and the EPS card gateway are card acquisition products only. Since CPS (the issuing side) is excluded, we receive tokenized PANs but have no way to resolve them to a cardholder identity in this release. These records receive Tier-5 EXTERNAL_STUB profiles.</w:t>
      </w:r>
    </w:p>
    <w:p>
      <w:pPr>
        <w:pStyle w:val="Heading2"/>
        <w:spacing w:before="240" w:after="120"/>
      </w:pPr>
      <w:r>
        <w:rPr>
          <w:rFonts w:ascii="Arial" w:cs="Arial" w:eastAsia="Arial" w:hAnsi="Arial"/>
          <w:b/>
          <w:bCs/>
          <w:color w:val="1a73e8"/>
          <w:sz w:val="24"/>
          <w:szCs w:val="24"/>
        </w:rPr>
        <w:t xml:space="preserve">5.4 Cross-FI Blocking (JH-Global Tier)</w:t>
      </w:r>
    </w:p>
    <w:p>
      <w:pPr>
        <w:spacing w:before="80" w:after="100"/>
      </w:pPr>
      <w:r>
        <w:rPr>
          <w:rFonts w:ascii="Arial" w:cs="Arial" w:eastAsia="Arial" w:hAnsi="Arial"/>
          <w:sz w:val="22"/>
          <w:szCs w:val="22"/>
        </w:rPr>
        <w:t xml:space="preserve">The JH-global tier applies a restricted set of blocking keys across FI boundaries. Only BK-1 (SSN/TIN hash) and BK-2 (account+routing token) are permitted for cross-FI blocking. This ensures that the global link is always based on unambiguous, high-confidence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Cross-FI Signal</w:t>
            </w:r>
          </w:p>
        </w:tc>
        <w:tc>
          <w:tcPr>
            <w:tcW w:type="dxa" w:w="16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Global Tier</w:t>
            </w:r>
          </w:p>
        </w:tc>
        <w:tc>
          <w:tcPr>
            <w:tcW w:type="dxa" w:w="5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BK-1 (SSN hash)</w:t>
            </w:r>
          </w:p>
        </w:tc>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1 — Global</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SSN uniquely identifies a person. A match across two FIs is near-certain to be the same individual. Hash is per-JH-platform salt (not per-FI), enabling cross-FI comparison.</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BK-2 (Acct+Routing)</w:t>
            </w:r>
          </w:p>
        </w:tc>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Tier 2 — Global</w:t>
            </w:r>
          </w:p>
        </w:tc>
        <w:tc>
          <w:tcPr>
            <w:tcW w:type="dxa" w:w="5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An external account appearing at two different FIs (e.g., as a linked external account in Banno or as a Payrailz A2A destination) likely belongs to the same person.</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BK-3/4 (Email/Phone)</w:t>
            </w:r>
          </w:p>
        </w:tc>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NOT USED cross-FI</w:t>
            </w:r>
          </w:p>
        </w:tc>
        <w:tc>
          <w:tcPr>
            <w:tcW w:type="dxa" w:w="5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Email and phone are stored in plaintext per-FI. Cross-FI matching would require centralizing plaintext PII, creating an unacceptable linkage-across-tenants risk.</w:t>
            </w:r>
          </w:p>
        </w:tc>
      </w:tr>
    </w:tbl>
    <w:p>
      <w:pPr>
        <w:pStyle w:val="Heading1"/>
        <w:spacing w:before="360" w:after="160"/>
      </w:pPr>
      <w:r>
        <w:rPr>
          <w:rFonts w:ascii="Arial" w:cs="Arial" w:eastAsia="Arial" w:hAnsi="Arial"/>
          <w:b/>
          <w:bCs/>
          <w:color w:val="003087"/>
          <w:sz w:val="28"/>
          <w:szCs w:val="28"/>
        </w:rPr>
        <w:t xml:space="preserve">6. Identity Resolution Strategy</w:t>
      </w:r>
    </w:p>
    <w:p>
      <w:pPr>
        <w:pStyle w:val="Heading2"/>
        <w:spacing w:before="240" w:after="120"/>
      </w:pPr>
      <w:r>
        <w:rPr>
          <w:rFonts w:ascii="Arial" w:cs="Arial" w:eastAsia="Arial" w:hAnsi="Arial"/>
          <w:b/>
          <w:bCs/>
          <w:color w:val="1a73e8"/>
          <w:sz w:val="24"/>
          <w:szCs w:val="24"/>
        </w:rPr>
        <w:t xml:space="preserve">6.1 Resolution Pipeline</w:t>
      </w:r>
    </w:p>
    <w:p>
      <w:pPr>
        <w:spacing w:before="80" w:after="100"/>
      </w:pPr>
      <w:r>
        <w:rPr>
          <w:rFonts w:ascii="Arial" w:cs="Arial" w:eastAsia="Arial" w:hAnsi="Arial"/>
          <w:sz w:val="22"/>
          <w:szCs w:val="22"/>
        </w:rPr>
        <w:t xml:space="preserve">Every inbound identity event passes through the following pipeline. The blocking and bucketing framework from Section 5 governs Steps 4 and 5.</w:t>
      </w:r>
    </w:p>
    <w:p>
      <w:pPr>
        <w:spacing w:before="80" w:after="100"/>
      </w:pPr>
      <w:r>
        <w:rPr>
          <w:rFonts w:ascii="Arial" w:cs="Arial" w:eastAsia="Arial" w:hAnsi="Arial"/>
          <w:b/>
          <w:bCs/>
          <w:sz w:val="22"/>
          <w:szCs w:val="22"/>
        </w:rPr>
        <w:t xml:space="preserve">1. Ingest &amp; Normalize: </w:t>
      </w:r>
      <w:r>
        <w:rPr>
          <w:rFonts w:ascii="Arial" w:cs="Arial" w:eastAsia="Arial" w:hAnsi="Arial"/>
          <w:sz w:val="22"/>
          <w:szCs w:val="22"/>
        </w:rPr>
        <w:t xml:space="preserve">Receive raw identity payload from source adapter. Normalize fields (name, phone to E.164, address to USPS, account numbers stripped of formatting). Infer entity_type from SEC code or payment context.</w:t>
      </w:r>
    </w:p>
    <w:p>
      <w:pPr>
        <w:spacing w:before="80" w:after="100"/>
      </w:pPr>
      <w:r>
        <w:rPr>
          <w:rFonts w:ascii="Arial" w:cs="Arial" w:eastAsia="Arial" w:hAnsi="Arial"/>
          <w:b/>
          <w:bCs/>
          <w:sz w:val="22"/>
          <w:szCs w:val="22"/>
        </w:rPr>
        <w:t xml:space="preserve">2. Tokenize PII: </w:t>
      </w:r>
      <w:r>
        <w:rPr>
          <w:rFonts w:ascii="Arial" w:cs="Arial" w:eastAsia="Arial" w:hAnsi="Arial"/>
          <w:sz w:val="22"/>
          <w:szCs w:val="22"/>
        </w:rPr>
        <w:t xml:space="preserve">Replace SSN/TIN with SHA-256 hash (at comparison time only); account numbers, emails, and phone numbers are retained in plaintext and protected by Row-Level Security. Raw PANs are the only field passed to the PCI Vault (card transactions only).</w:t>
      </w:r>
    </w:p>
    <w:p>
      <w:pPr>
        <w:spacing w:before="80" w:after="100"/>
      </w:pPr>
      <w:r>
        <w:rPr>
          <w:rFonts w:ascii="Arial" w:cs="Arial" w:eastAsia="Arial" w:hAnsi="Arial"/>
          <w:b/>
          <w:bCs/>
          <w:sz w:val="22"/>
          <w:szCs w:val="22"/>
        </w:rPr>
        <w:t xml:space="preserve">3. Derive Blocking Keys: </w:t>
      </w:r>
      <w:r>
        <w:rPr>
          <w:rFonts w:ascii="Arial" w:cs="Arial" w:eastAsia="Arial" w:hAnsi="Arial"/>
          <w:sz w:val="22"/>
          <w:szCs w:val="22"/>
        </w:rPr>
        <w:t xml:space="preserve">Compute all applicable blocking keys (BK-1 through BK-8) from the normalized payload.</w:t>
      </w:r>
    </w:p>
    <w:p>
      <w:pPr>
        <w:spacing w:before="80" w:after="100"/>
      </w:pPr>
      <w:r>
        <w:rPr>
          <w:rFonts w:ascii="Arial" w:cs="Arial" w:eastAsia="Arial" w:hAnsi="Arial"/>
          <w:b/>
          <w:bCs/>
          <w:sz w:val="22"/>
          <w:szCs w:val="22"/>
        </w:rPr>
        <w:t xml:space="preserve">4. Candidate Generation: </w:t>
      </w:r>
      <w:r>
        <w:rPr>
          <w:rFonts w:ascii="Arial" w:cs="Arial" w:eastAsia="Arial" w:hAnsi="Arial"/>
          <w:sz w:val="22"/>
          <w:szCs w:val="22"/>
        </w:rPr>
        <w:t xml:space="preserve">Query the Resolution Index (Redis inverted index) for existing entity records sharing any blocking key. Empty result = no candidates; proceed to create new entity.</w:t>
      </w:r>
    </w:p>
    <w:p>
      <w:pPr>
        <w:spacing w:before="80" w:after="100"/>
      </w:pPr>
      <w:r>
        <w:rPr>
          <w:rFonts w:ascii="Arial" w:cs="Arial" w:eastAsia="Arial" w:hAnsi="Arial"/>
          <w:b/>
          <w:bCs/>
          <w:sz w:val="22"/>
          <w:szCs w:val="22"/>
        </w:rPr>
        <w:t xml:space="preserve">5. Bucket Assignment: </w:t>
      </w:r>
      <w:r>
        <w:rPr>
          <w:rFonts w:ascii="Arial" w:cs="Arial" w:eastAsia="Arial" w:hAnsi="Arial"/>
          <w:sz w:val="22"/>
          <w:szCs w:val="22"/>
        </w:rPr>
        <w:t xml:space="preserve">For each candidate pair, evaluate which blocking keys match. Assign the highest applicable confidence bucket (Tier 1–5).</w:t>
      </w:r>
    </w:p>
    <w:p>
      <w:pPr>
        <w:spacing w:before="80" w:after="100"/>
      </w:pPr>
      <w:r>
        <w:rPr>
          <w:rFonts w:ascii="Arial" w:cs="Arial" w:eastAsia="Arial" w:hAnsi="Arial"/>
          <w:b/>
          <w:bCs/>
          <w:sz w:val="22"/>
          <w:szCs w:val="22"/>
        </w:rPr>
        <w:t xml:space="preserve">6. Resolution Decision: </w:t>
      </w:r>
      <w:r>
        <w:rPr>
          <w:rFonts w:ascii="Arial" w:cs="Arial" w:eastAsia="Arial" w:hAnsi="Arial"/>
          <w:sz w:val="22"/>
          <w:szCs w:val="22"/>
        </w:rPr>
        <w:t xml:space="preserve">Tier 1 or Tier 2 match → auto-merge into existing entity. Tier 3 match with no conflict → auto-merge. Tier 3 match with conflicting BK-1 → route to manual review queue (PENDING status, 5-business-day SLA). Tier 4 → create External Profile stub or flag SUSPECT if partial conflict. Tier 5 → create EXTERNAL_STUB.</w:t>
      </w:r>
    </w:p>
    <w:p>
      <w:pPr>
        <w:spacing w:before="80" w:after="100"/>
      </w:pPr>
      <w:r>
        <w:rPr>
          <w:rFonts w:ascii="Arial" w:cs="Arial" w:eastAsia="Arial" w:hAnsi="Arial"/>
          <w:b/>
          <w:bCs/>
          <w:sz w:val="22"/>
          <w:szCs w:val="22"/>
        </w:rPr>
        <w:t xml:space="preserve">7. Cross-FI Global Link Check: </w:t>
      </w:r>
      <w:r>
        <w:rPr>
          <w:rFonts w:ascii="Arial" w:cs="Arial" w:eastAsia="Arial" w:hAnsi="Arial"/>
          <w:sz w:val="22"/>
          <w:szCs w:val="22"/>
        </w:rPr>
        <w:t xml:space="preserve">After FI-scoped resolution, the JHBI internal nightly batch process checks BK-1 (platform-salt SSN hash) and BK-2 (account+routing token) against the Global Identity Link index. BK-3 (email) and BK-4 (phone) are explicitly excluded from cross-FI linking by design. If a match is found, idr_global_person_id is populated on the FI-scoped entity.</w:t>
      </w:r>
    </w:p>
    <w:p>
      <w:pPr>
        <w:spacing w:before="80" w:after="100"/>
      </w:pPr>
      <w:r>
        <w:rPr>
          <w:rFonts w:ascii="Arial" w:cs="Arial" w:eastAsia="Arial" w:hAnsi="Arial"/>
          <w:b/>
          <w:bCs/>
          <w:sz w:val="22"/>
          <w:szCs w:val="22"/>
        </w:rPr>
        <w:t xml:space="preserve">8. Entity Write &amp; Event Emission: </w:t>
      </w:r>
      <w:r>
        <w:rPr>
          <w:rFonts w:ascii="Arial" w:cs="Arial" w:eastAsia="Arial" w:hAnsi="Arial"/>
          <w:sz w:val="22"/>
          <w:szCs w:val="22"/>
        </w:rPr>
        <w:t xml:space="preserve">Write entity create/update to Identity Store. Emit idr.entity.changes Kafka/Pub–Sub event for downstream consumers.</w:t>
      </w:r>
    </w:p>
    <w:p>
      <w:pPr>
        <w:spacing w:before="80" w:after="100"/>
      </w:pPr>
      <w:r>
        <w:rPr>
          <w:rFonts w:ascii="Arial" w:cs="Arial" w:eastAsia="Arial" w:hAnsi="Arial"/>
          <w:b/>
          <w:bCs/>
          <w:sz w:val="22"/>
          <w:szCs w:val="22"/>
        </w:rPr>
        <w:t xml:space="preserve">9. Audit Log: </w:t>
      </w:r>
      <w:r>
        <w:rPr>
          <w:rFonts w:ascii="Arial" w:cs="Arial" w:eastAsia="Arial" w:hAnsi="Arial"/>
          <w:sz w:val="22"/>
          <w:szCs w:val="22"/>
        </w:rPr>
        <w:t xml:space="preserve">Write match_decision_log record with full feature vector, blocking keys evaluated, bucket assigned, and decision made.</w:t>
      </w:r>
    </w:p>
    <w:p>
      <w:pPr>
        <w:pStyle w:val="Heading2"/>
        <w:spacing w:before="240" w:after="120"/>
      </w:pPr>
      <w:r>
        <w:rPr>
          <w:rFonts w:ascii="Arial" w:cs="Arial" w:eastAsia="Arial" w:hAnsi="Arial"/>
          <w:b/>
          <w:bCs/>
          <w:color w:val="1a73e8"/>
          <w:sz w:val="24"/>
          <w:szCs w:val="24"/>
        </w:rPr>
        <w:t xml:space="preserve">6.2 Conflict Resolution Rules</w:t>
      </w:r>
    </w:p>
    <w:p>
      <w:pPr>
        <w:pStyle w:val="ListParagraph"/>
        <w:numPr>
          <w:ilvl w:val="0"/>
          <w:numId w:val="2"/>
        </w:numPr>
        <w:spacing w:before="60" w:after="60"/>
      </w:pPr>
      <w:r>
        <w:rPr>
          <w:rFonts w:ascii="Arial" w:cs="Arial" w:eastAsia="Arial" w:hAnsi="Arial"/>
          <w:sz w:val="22"/>
          <w:szCs w:val="22"/>
        </w:rPr>
        <w:t xml:space="preserve">SSN hash matches but name differs significantly: SUSPECT. Do not auto-merge. May be a legal name change or SSN reuse error.</w:t>
      </w:r>
    </w:p>
    <w:p>
      <w:pPr>
        <w:pStyle w:val="ListParagraph"/>
        <w:numPr>
          <w:ilvl w:val="0"/>
          <w:numId w:val="2"/>
        </w:numPr>
        <w:spacing w:before="60" w:after="60"/>
      </w:pPr>
      <w:r>
        <w:rPr>
          <w:rFonts w:ascii="Arial" w:cs="Arial" w:eastAsia="Arial" w:hAnsi="Arial"/>
          <w:sz w:val="22"/>
          <w:szCs w:val="22"/>
        </w:rPr>
        <w:t xml:space="preserve">Multiple email tokens resolve to different SSN hashes: keep as separate entities. Do not merge.</w:t>
      </w:r>
    </w:p>
    <w:p>
      <w:pPr>
        <w:pStyle w:val="ListParagraph"/>
        <w:numPr>
          <w:ilvl w:val="0"/>
          <w:numId w:val="2"/>
        </w:numPr>
        <w:spacing w:before="60" w:after="60"/>
      </w:pPr>
      <w:r>
        <w:rPr>
          <w:rFonts w:ascii="Arial" w:cs="Arial" w:eastAsia="Arial" w:hAnsi="Arial"/>
          <w:sz w:val="22"/>
          <w:szCs w:val="22"/>
        </w:rPr>
        <w:t xml:space="preserve">Same account token appears under two customer IDs in same FI: DUPLICATE_SOURCE event. Defer to higher-confidence source (SilverLake &gt; Banno &gt; ACH &gt; others).</w:t>
      </w:r>
    </w:p>
    <w:p>
      <w:pPr>
        <w:pStyle w:val="ListParagraph"/>
        <w:numPr>
          <w:ilvl w:val="0"/>
          <w:numId w:val="2"/>
        </w:numPr>
        <w:spacing w:before="60" w:after="60"/>
      </w:pPr>
      <w:r>
        <w:rPr>
          <w:rFonts w:ascii="Arial" w:cs="Arial" w:eastAsia="Arial" w:hAnsi="Arial"/>
          <w:sz w:val="22"/>
          <w:szCs w:val="22"/>
        </w:rPr>
        <w:t xml:space="preserve">An EXTERNAL_STUB gains a BK-1 or BK-2 match to a FULL entity: promote the stub by merging into the FULL entity. Do not lose the payment history links.</w:t>
      </w:r>
    </w:p>
    <w:p>
      <w:pPr>
        <w:pStyle w:val="ListParagraph"/>
        <w:numPr>
          <w:ilvl w:val="0"/>
          <w:numId w:val="2"/>
        </w:numPr>
        <w:spacing w:before="60" w:after="60"/>
      </w:pPr>
      <w:r>
        <w:rPr>
          <w:rFonts w:ascii="Arial" w:cs="Arial" w:eastAsia="Arial" w:hAnsi="Arial"/>
          <w:sz w:val="22"/>
          <w:szCs w:val="22"/>
        </w:rPr>
        <w:t xml:space="preserve">All conflict decisions are logged to match_decision_log and serve as a training corpus for future probabilistic scoring (see futures document).</w:t>
      </w:r>
    </w:p>
    <w:p>
      <w:pPr>
        <w:pStyle w:val="Heading2"/>
        <w:spacing w:before="240" w:after="120"/>
      </w:pPr>
      <w:r>
        <w:rPr>
          <w:rFonts w:ascii="Arial" w:cs="Arial" w:eastAsia="Arial" w:hAnsi="Arial"/>
          <w:b/>
          <w:bCs/>
          <w:color w:val="1a73e8"/>
          <w:sz w:val="24"/>
          <w:szCs w:val="24"/>
        </w:rPr>
        <w:t xml:space="preserve">6.3 Household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760"/>
        <w:gridCol w:w="1400"/>
      </w:tblGrid>
      <w:tr>
        <w:trPr>
          <w:tblHeader/>
        </w:trPr>
        <w:tc>
          <w:tcPr>
            <w:tcW w:type="dxa" w:w="20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1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Confidence</w:t>
            </w:r>
          </w:p>
        </w:tc>
        <w:tc>
          <w:tcPr>
            <w:tcW w:type="dxa" w:w="4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Trigger</w:t>
            </w:r>
          </w:p>
        </w:tc>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Auto-Form?</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JOINT_ACCOUNT</w:t>
            </w:r>
          </w:p>
        </w:tc>
        <w:tc>
          <w:tcPr>
            <w:tcW w:type="dxa" w:w="1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0.95</w:t>
            </w:r>
          </w:p>
        </w:tc>
        <w:tc>
          <w:tcPr>
            <w:tcW w:type="dxa" w:w="4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Two FULL-profile Customer/Member entities who are both owners of the same Account.</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Yes</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SHARED_ADDRESS</w:t>
            </w:r>
          </w:p>
        </w:tc>
        <w:tc>
          <w:tcPr>
            <w:tcW w:type="dxa" w:w="1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0.75</w:t>
            </w:r>
          </w:p>
        </w:tc>
        <w:tc>
          <w:tcPr>
            <w:tcW w:type="dxa" w:w="4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Two FULL-profile entities at same FI with identical normalized address AND same last name token (or existing joint account history).</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Yes</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DECLARED_RELATIONSHIP</w:t>
            </w:r>
          </w:p>
        </w:tc>
        <w:tc>
          <w:tcPr>
            <w:tcW w:type="dxa" w:w="1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1.0</w:t>
            </w:r>
          </w:p>
        </w:tc>
        <w:tc>
          <w:tcPr>
            <w:tcW w:type="dxa" w:w="4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Source system explicitly declares household grouping (e.g., SilverLake household record).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Yes</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MANUAL</w:t>
            </w:r>
          </w:p>
        </w:tc>
        <w:tc>
          <w:tcPr>
            <w:tcW w:type="dxa" w:w="1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Operator override</w:t>
            </w:r>
          </w:p>
        </w:tc>
        <w:tc>
          <w:tcPr>
            <w:tcW w:type="dxa" w:w="4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Operator override via manual review queue.</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N/A</w:t>
            </w:r>
          </w:p>
        </w:tc>
      </w:tr>
    </w:tbl>
    <w:p>
      <w:pPr>
        <w:pStyle w:val="Heading1"/>
        <w:spacing w:before="360" w:after="160"/>
      </w:pPr>
      <w:r>
        <w:rPr>
          <w:rFonts w:ascii="Arial" w:cs="Arial" w:eastAsia="Arial" w:hAnsi="Arial"/>
          <w:b/>
          <w:bCs/>
          <w:color w:val="003087"/>
          <w:sz w:val="28"/>
          <w:szCs w:val="28"/>
        </w:rPr>
        <w:t xml:space="preserve">7. System Architecture</w:t>
      </w:r>
    </w:p>
    <w:p>
      <w:pPr>
        <w:pStyle w:val="Heading2"/>
        <w:spacing w:before="240" w:after="120"/>
      </w:pPr>
      <w:r>
        <w:rPr>
          <w:rFonts w:ascii="Arial" w:cs="Arial" w:eastAsia="Arial" w:hAnsi="Arial"/>
          <w:b/>
          <w:bCs/>
          <w:color w:val="1a73e8"/>
          <w:sz w:val="24"/>
          <w:szCs w:val="24"/>
        </w:rPr>
        <w:t xml:space="preserve">7.1 GCP Logical Architecture</w:t>
      </w:r>
    </w:p>
    <w:p>
      <w:pPr>
        <w:spacing w:before="80" w:after="100"/>
      </w:pPr>
      <w:r>
        <w:rPr>
          <w:rFonts w:ascii="Arial" w:cs="Arial" w:eastAsia="Arial" w:hAnsi="Arial"/>
          <w:sz w:val="22"/>
          <w:szCs w:val="22"/>
        </w:rPr>
        <w:t xml:space="preserve">The system is deployed on Google Cloud Platform (GCP) as a set of containerised microservices running on GKE. The five-layer architecture spans two data planes: the FI-scoped plane (full entity resolution, external API surface) and the JH-global plane (internal cross-FI linking, JHBI analytics only).</w:t>
      </w:r>
    </w:p>
    <w:p>
      <w:pPr>
        <w:spacing w:before="80" w:after="100"/>
      </w:pPr>
      <w:r>
        <w:rPr>
          <w:rFonts w:ascii="Arial" w:cs="Arial" w:eastAsia="Arial" w:hAnsi="Arial"/>
          <w:sz w:val="22"/>
          <w:szCs w:val="22"/>
        </w:rPr>
        <w:t xml:space="preserve">The architecture is organised into five layers across two data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8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GCP Components</w:t>
            </w:r>
          </w:p>
        </w:tc>
        <w:tc>
          <w:tcPr>
            <w:tcW w:type="dxa" w:w="51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Responsibility</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1. Ingestion</w:t>
            </w:r>
          </w:p>
        </w:tc>
        <w:tc>
          <w:tcPr>
            <w:tcW w:type="dxa" w:w="2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Product Adapters (GKE Pods), Cloud Pub/Sub</w:t>
            </w:r>
          </w:p>
        </w:tc>
        <w:tc>
          <w:tcPr>
            <w:tcW w:type="dxa" w:w="5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Normalize, validate, and forward identity events from source products.</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2. PCI Vault (PAN only — optional)</w:t>
            </w:r>
          </w:p>
        </w:tc>
        <w:tc>
          <w:tcPr>
            <w:tcW w:type="dxa" w:w="2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HashiCorp Vault on GKE + Cloud KMS (FF3-1 FPE)</w:t>
            </w:r>
          </w:p>
        </w:tc>
        <w:tc>
          <w:tcPr>
            <w:tcW w:type="dxa" w:w="5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Tokenize card PANs only. Optional and deferred unless Tap2Local / EPS gateway is in scope.</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3. Resolution Engine</w:t>
            </w:r>
          </w:p>
        </w:tc>
        <w:tc>
          <w:tcPr>
            <w:tcW w:type="dxa" w:w="2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GKE Pods (Kotlin / Spring Boot, stateless)</w:t>
            </w:r>
          </w:p>
        </w:tc>
        <w:tc>
          <w:tcPr>
            <w:tcW w:type="dxa" w:w="5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Execute blocking + bucketing pipeline; emit entity events.</w:t>
            </w:r>
          </w:p>
        </w:tc>
      </w:tr>
      <w:tr>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4. Identity Store</w:t>
            </w:r>
          </w:p>
        </w:tc>
        <w:tc>
          <w:tcPr>
            <w:tcW w:type="dxa" w:w="2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Cloud SQL PostgreSQL 15+ (temporal tables, RLS), Cloud Memorystore (Redis), BigQuery / Cloud Storage (Audit Log)</w:t>
            </w:r>
          </w:p>
        </w:tc>
        <w:tc>
          <w:tcPr>
            <w:tcW w:type="dxa" w:w="5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Persist entity records and relationships. Separate global index for cross-FI linking.</w:t>
            </w:r>
          </w:p>
        </w:tc>
      </w:tr>
      <w:tr>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5. Query API</w:t>
            </w:r>
          </w:p>
        </w:tc>
        <w:tc>
          <w:tcPr>
            <w:tcW w:type="dxa" w:w="2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Cloud Endpoints + Cloud Armor (WAF + OAuth)</w:t>
            </w:r>
          </w:p>
        </w:tc>
        <w:tc>
          <w:tcPr>
            <w:tcW w:type="dxa" w:w="5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FI-facing REST API: FI-scoped entities only. JHBI Internal API: global person resolution and analytics access.</w:t>
            </w:r>
          </w:p>
        </w:tc>
      </w:tr>
    </w:tbl>
    <w:p>
      <w:pPr>
        <w:pStyle w:val="Heading2"/>
        <w:spacing w:before="240" w:after="120"/>
      </w:pPr>
      <w:r>
        <w:rPr>
          <w:rFonts w:ascii="Arial" w:cs="Arial" w:eastAsia="Arial" w:hAnsi="Arial"/>
          <w:b/>
          <w:bCs/>
          <w:color w:val="1a73e8"/>
          <w:sz w:val="24"/>
          <w:szCs w:val="24"/>
        </w:rPr>
        <w:t xml:space="preserve">7.2 Product Adapters</w:t>
      </w:r>
    </w:p>
    <w:p>
      <w:pPr>
        <w:spacing w:before="80" w:after="100"/>
      </w:pPr>
      <w:r>
        <w:rPr>
          <w:rFonts w:ascii="Arial" w:cs="Arial" w:eastAsia="Arial" w:hAnsi="Arial"/>
          <w:sz w:val="22"/>
          <w:szCs w:val="22"/>
        </w:rPr>
        <w:t xml:space="preserve">Each in-scope Jack Henry payment product has a dedicated adapter (thin transformation layer, no business logic). Adapters subscribe to the product’s event stream, validate and normalize to the canonical IdentityEvent schema, and forward to the ingestion topic on Cloud Pub/Sub. One adapter per product family, deployed as independent microservices on GKE for failure isolation and independent versioning.</w:t>
      </w:r>
    </w:p>
    <w:p>
      <w:pPr>
        <w:pStyle w:val="Heading2"/>
        <w:spacing w:before="240" w:after="120"/>
      </w:pPr>
      <w:r>
        <w:rPr>
          <w:rFonts w:ascii="Arial" w:cs="Arial" w:eastAsia="Arial" w:hAnsi="Arial"/>
          <w:b/>
          <w:bCs/>
          <w:color w:val="1a73e8"/>
          <w:sz w:val="24"/>
          <w:szCs w:val="24"/>
        </w:rPr>
        <w:t xml:space="preserve">7.3 PII Handling and Storage (Non-Card)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7400" w:sz="8"/>
              <w:left w:val="single" w:color="e37400" w:sz="8"/>
              <w:bottom w:val="none"/>
              <w:right w:val="single" w:color="e37400" w:sz="8"/>
            </w:tcBorders>
            <w:shd w:fill="e37400" w:val="clear"/>
            <w:tcMar>
              <w:top w:type="dxa" w:w="80"/>
              <w:left w:type="dxa" w:w="120"/>
              <w:bottom w:type="dxa" w:w="60"/>
              <w:right w:type="dxa" w:w="120"/>
            </w:tcMar>
          </w:tcPr>
          <w:p>
            <w:r>
              <w:rPr>
                <w:rFonts w:ascii="Arial" w:cs="Arial" w:eastAsia="Arial" w:hAnsi="Arial"/>
                <w:b/>
                <w:bCs/>
                <w:color w:val="FFFFFF"/>
                <w:sz w:val="22"/>
                <w:szCs w:val="22"/>
              </w:rPr>
              <w:t xml:space="preserve">NOTE: The PCI Vault is an optional, deferred component.</w:t>
            </w:r>
          </w:p>
        </w:tc>
      </w:tr>
      <w:tr>
        <w:tc>
          <w:tcPr>
            <w:tcW w:type="dxa" w:w="9360"/>
            <w:tcBorders>
              <w:top w:val="none"/>
              <w:left w:val="single" w:color="e37400" w:sz="8"/>
              <w:bottom w:val="single" w:color="e37400" w:sz="8"/>
              <w:right w:val="single" w:color="e37400" w:sz="8"/>
            </w:tcBorders>
            <w:shd w:fill="fff8e1" w:val="clear"/>
            <w:tcMar>
              <w:top w:type="dxa" w:w="80"/>
              <w:left w:type="dxa" w:w="120"/>
              <w:bottom w:type="dxa" w:w="80"/>
              <w:right w:type="dxa" w:w="120"/>
            </w:tcMar>
          </w:tcPr>
          <w:p>
            <w:r>
              <w:rPr>
                <w:rFonts w:ascii="Arial" w:cs="Arial" w:eastAsia="Arial" w:hAnsi="Arial"/>
                <w:sz w:val="22"/>
                <w:szCs w:val="22"/>
              </w:rPr>
              <w:t xml:space="preserve">It is only required if card-present transactions (Tap2Local / EPS gateway) are in the deployment scope. The core identity resolution pipeline (Tiers 1–4) does not depend on PAN tokenization.</w:t>
            </w:r>
          </w:p>
        </w:tc>
      </w:tr>
    </w:tbl>
    <w:p>
      <w:pPr>
        <w:spacing w:before="80" w:after="80"/>
      </w:pPr>
    </w:p>
    <w:p>
      <w:pPr>
        <w:pStyle w:val="ListParagraph"/>
        <w:numPr>
          <w:ilvl w:val="0"/>
          <w:numId w:val="2"/>
        </w:numPr>
        <w:spacing w:before="60" w:after="60"/>
      </w:pPr>
      <w:r>
        <w:rPr>
          <w:rFonts w:ascii="Arial" w:cs="Arial" w:eastAsia="Arial" w:hAnsi="Arial"/>
          <w:b/>
          <w:bCs/>
          <w:sz w:val="22"/>
          <w:szCs w:val="22"/>
        </w:rPr>
        <w:t xml:space="preserve">Account numbers: </w:t>
      </w:r>
      <w:r>
        <w:rPr>
          <w:rFonts w:ascii="Arial" w:cs="Arial" w:eastAsia="Arial" w:hAnsi="Arial"/>
          <w:sz w:val="22"/>
          <w:szCs w:val="22"/>
        </w:rPr>
        <w:t xml:space="preserve">Stored in plaintext in Cloud SQL. Protected by PostgreSQL Row-Level Security (fi_id scoping) and OAuth scope enforcement. Not tokenized.</w:t>
      </w:r>
    </w:p>
    <w:p>
      <w:pPr>
        <w:pStyle w:val="ListParagraph"/>
        <w:numPr>
          <w:ilvl w:val="0"/>
          <w:numId w:val="2"/>
        </w:numPr>
        <w:spacing w:before="60" w:after="60"/>
      </w:pPr>
      <w:r>
        <w:rPr>
          <w:rFonts w:ascii="Arial" w:cs="Arial" w:eastAsia="Arial" w:hAnsi="Arial"/>
          <w:b/>
          <w:bCs/>
          <w:sz w:val="22"/>
          <w:szCs w:val="22"/>
        </w:rPr>
        <w:t xml:space="preserve">SSN/TIN: </w:t>
      </w:r>
      <w:r>
        <w:rPr>
          <w:rFonts w:ascii="Arial" w:cs="Arial" w:eastAsia="Arial" w:hAnsi="Arial"/>
          <w:sz w:val="22"/>
          <w:szCs w:val="22"/>
        </w:rPr>
        <w:t xml:space="preserve">Stored in plaintext. Hashed at comparison time within the resolution engine (SHA-256 with fi_id as scope key) for blocking key derivation. Hash never persisted in the entity table.</w:t>
      </w:r>
    </w:p>
    <w:p>
      <w:pPr>
        <w:pStyle w:val="ListParagraph"/>
        <w:numPr>
          <w:ilvl w:val="0"/>
          <w:numId w:val="2"/>
        </w:numPr>
        <w:spacing w:before="60" w:after="60"/>
      </w:pPr>
      <w:r>
        <w:rPr>
          <w:rFonts w:ascii="Arial" w:cs="Arial" w:eastAsia="Arial" w:hAnsi="Arial"/>
          <w:b/>
          <w:bCs/>
          <w:sz w:val="22"/>
          <w:szCs w:val="22"/>
        </w:rPr>
        <w:t xml:space="preserve">SSN/TIN (JH-global linking): </w:t>
      </w:r>
      <w:r>
        <w:rPr>
          <w:rFonts w:ascii="Arial" w:cs="Arial" w:eastAsia="Arial" w:hAnsi="Arial"/>
          <w:sz w:val="22"/>
          <w:szCs w:val="22"/>
        </w:rPr>
        <w:t xml:space="preserve">Resolution engine computes SHA-256(SSN + platform_salt) at runtime for cross-FI comparison. Hash never persisted — only the resulting idr_global_person_id link is stored.</w:t>
      </w:r>
    </w:p>
    <w:p>
      <w:pPr>
        <w:pStyle w:val="ListParagraph"/>
        <w:numPr>
          <w:ilvl w:val="0"/>
          <w:numId w:val="2"/>
        </w:numPr>
        <w:spacing w:before="60" w:after="60"/>
      </w:pPr>
      <w:r>
        <w:rPr>
          <w:rFonts w:ascii="Arial" w:cs="Arial" w:eastAsia="Arial" w:hAnsi="Arial"/>
          <w:b/>
          <w:bCs/>
          <w:sz w:val="22"/>
          <w:szCs w:val="22"/>
        </w:rPr>
        <w:t xml:space="preserve">Email / Phone: </w:t>
      </w:r>
      <w:r>
        <w:rPr>
          <w:rFonts w:ascii="Arial" w:cs="Arial" w:eastAsia="Arial" w:hAnsi="Arial"/>
          <w:sz w:val="22"/>
          <w:szCs w:val="22"/>
        </w:rPr>
        <w:t xml:space="preserve">Stored in plaintext. Normalized (lowercase email, E.164 phone) and compared directly within FI scope. Per-FI isolation enforced by RLS.</w:t>
      </w:r>
    </w:p>
    <w:p>
      <w:pPr>
        <w:pStyle w:val="ListParagraph"/>
        <w:numPr>
          <w:ilvl w:val="0"/>
          <w:numId w:val="2"/>
        </w:numPr>
        <w:spacing w:before="60" w:after="60"/>
      </w:pPr>
      <w:r>
        <w:rPr>
          <w:rFonts w:ascii="Arial" w:cs="Arial" w:eastAsia="Arial" w:hAnsi="Arial"/>
          <w:b/>
          <w:bCs/>
          <w:sz w:val="22"/>
          <w:szCs w:val="22"/>
        </w:rPr>
        <w:t xml:space="preserve">PAN (card data only): </w:t>
      </w:r>
      <w:r>
        <w:rPr>
          <w:rFonts w:ascii="Arial" w:cs="Arial" w:eastAsia="Arial" w:hAnsi="Arial"/>
          <w:sz w:val="22"/>
          <w:szCs w:val="22"/>
        </w:rPr>
        <w:t xml:space="preserve">Tokenized via FF3-1 FPE in the PCI Vault. Detokenization requires idr:detokenize OAuth scope, documented justification, and immutable PCI audit log entry.</w:t>
      </w:r>
    </w:p>
    <w:p>
      <w:pPr>
        <w:pStyle w:val="Heading2"/>
        <w:spacing w:before="240" w:after="120"/>
      </w:pPr>
      <w:r>
        <w:rPr>
          <w:rFonts w:ascii="Arial" w:cs="Arial" w:eastAsia="Arial" w:hAnsi="Arial"/>
          <w:b/>
          <w:bCs/>
          <w:color w:val="1a73e8"/>
          <w:sz w:val="24"/>
          <w:szCs w:val="24"/>
        </w:rPr>
        <w:t xml:space="preserve">7.4 Resolution Index (Cloud Memorystore / Redis)</w:t>
      </w:r>
    </w:p>
    <w:p>
      <w:pPr>
        <w:spacing w:before="80" w:after="100"/>
      </w:pPr>
      <w:r>
        <w:rPr>
          <w:rFonts w:ascii="Arial" w:cs="Arial" w:eastAsia="Arial" w:hAnsi="Arial"/>
          <w:sz w:val="22"/>
          <w:szCs w:val="22"/>
        </w:rPr>
        <w:t xml:space="preserve">The Resolution Index is an inverted index from blocking-key value to entity ID. Structure per FI:</w:t>
      </w:r>
    </w:p>
    <w:p>
      <w:pPr>
        <w:spacing w:before="80" w:after="100"/>
      </w:pPr>
      <w:r>
        <w:rPr>
          <w:rFonts w:ascii="Courier New" w:cs="Courier New" w:eastAsia="Courier New" w:hAnsi="Courier New"/>
          <w:sz w:val="20"/>
          <w:szCs w:val="20"/>
        </w:rPr>
        <w:t xml:space="preserve">HSET bk2:{fi_id} {account_token}:{routing} {idr_customer_id}</w:t>
      </w:r>
    </w:p>
    <w:p>
      <w:pPr>
        <w:spacing w:before="80" w:after="100"/>
      </w:pPr>
      <w:r>
        <w:rPr>
          <w:rFonts w:ascii="Courier New" w:cs="Courier New" w:eastAsia="Courier New" w:hAnsi="Courier New"/>
          <w:sz w:val="20"/>
          <w:szCs w:val="20"/>
        </w:rPr>
        <w:t xml:space="preserve">HSET bk3:{fi_id} {email_token} {idr_customer_id}</w:t>
      </w:r>
    </w:p>
    <w:p>
      <w:pPr>
        <w:spacing w:before="80" w:after="100"/>
      </w:pPr>
      <w:r>
        <w:rPr>
          <w:rFonts w:ascii="Courier New" w:cs="Courier New" w:eastAsia="Courier New" w:hAnsi="Courier New"/>
          <w:sz w:val="20"/>
          <w:szCs w:val="20"/>
        </w:rPr>
        <w:t xml:space="preserve">HSET bk1:global {platform_ssn_hash} {idr_global_person_id}</w:t>
      </w:r>
    </w:p>
    <w:p>
      <w:pPr>
        <w:spacing w:before="80" w:after="100"/>
      </w:pPr>
      <w:r>
        <w:rPr>
          <w:rFonts w:ascii="Arial" w:cs="Arial" w:eastAsia="Arial" w:hAnsi="Arial"/>
          <w:sz w:val="22"/>
          <w:szCs w:val="22"/>
        </w:rPr>
        <w:t xml:space="preserve">Candidate lookup is an O(1) Redis HGET per blocking key — no full-table scan. The global index (bk1:global) is accessed only by the JHBI internal cross-FI process, not by the FI-facing resolution engine.</w:t>
      </w:r>
    </w:p>
    <w:p>
      <w:pPr>
        <w:pStyle w:val="Heading2"/>
        <w:spacing w:before="240" w:after="120"/>
      </w:pPr>
      <w:r>
        <w:rPr>
          <w:rFonts w:ascii="Arial" w:cs="Arial" w:eastAsia="Arial" w:hAnsi="Arial"/>
          <w:b/>
          <w:bCs/>
          <w:color w:val="1a73e8"/>
          <w:sz w:val="24"/>
          <w:szCs w:val="24"/>
        </w:rPr>
        <w:t xml:space="preserve">7.5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28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GCP Service / Technology</w:t>
            </w:r>
          </w:p>
        </w:tc>
        <w:tc>
          <w:tcPr>
            <w:tcW w:type="dxa" w:w="45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Event Bus</w:t>
            </w:r>
          </w:p>
        </w:tc>
        <w:tc>
          <w:tcPr>
            <w:tcW w:type="dxa" w:w="2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Cloud Pub/Sub (or Confluent Kafka on GKE)</w:t>
            </w:r>
          </w:p>
        </w:tc>
        <w:tc>
          <w:tcPr>
            <w:tcW w:type="dxa" w:w="4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Durable, replay-capable. One topic per product + one IDR internal topic.</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FI Entity Database</w:t>
            </w:r>
          </w:p>
        </w:tc>
        <w:tc>
          <w:tcPr>
            <w:tcW w:type="dxa" w:w="2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Cloud SQL PostgreSQL 15+ (temporal tables)</w:t>
            </w:r>
          </w:p>
        </w:tc>
        <w:tc>
          <w:tcPr>
            <w:tcW w:type="dxa" w:w="4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Temporal tables for full history. Row-level security per fi_id.</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Resolution Index</w:t>
            </w:r>
          </w:p>
        </w:tc>
        <w:tc>
          <w:tcPr>
            <w:tcW w:type="dxa" w:w="2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Cloud Memorystore (Redis)</w:t>
            </w:r>
          </w:p>
        </w:tc>
        <w:tc>
          <w:tcPr>
            <w:tcW w:type="dxa" w:w="4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Sub-ms blocking key lookup. Per-FI keyspace separation.</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PCI Vault (PAN only)</w:t>
            </w:r>
          </w:p>
        </w:tc>
        <w:tc>
          <w:tcPr>
            <w:tcW w:type="dxa" w:w="2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HashiCorp Vault on GKE + Cloud KMS</w:t>
            </w:r>
          </w:p>
        </w:tc>
        <w:tc>
          <w:tcPr>
            <w:tcW w:type="dxa" w:w="4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FF3-1 FPE for card PANs only (BK-8 / Tap2Local). Deferred unless card-acceptance is in scope.</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Resolution Engine</w:t>
            </w:r>
          </w:p>
        </w:tc>
        <w:tc>
          <w:tcPr>
            <w:tcW w:type="dxa" w:w="2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GKE (Kotlin / Spring Boot, stateless)</w:t>
            </w:r>
          </w:p>
        </w:tc>
        <w:tc>
          <w:tcPr>
            <w:tcW w:type="dxa" w:w="4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Horizontally scalable. Pluggable scorer interface for future probabilistic extension.</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Query API</w:t>
            </w:r>
          </w:p>
        </w:tc>
        <w:tc>
          <w:tcPr>
            <w:tcW w:type="dxa" w:w="2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Cloud Endpoints + Cloud Armor</w:t>
            </w:r>
          </w:p>
        </w:tc>
        <w:tc>
          <w:tcPr>
            <w:tcW w:type="dxa" w:w="4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FI-scoped REST endpoints. JHBI internal endpoint has separate auth (idr:global:read scope).</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Audit Log</w:t>
            </w:r>
          </w:p>
        </w:tc>
        <w:tc>
          <w:tcPr>
            <w:tcW w:type="dxa" w:w="2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BigQuery or Cloud Storage (write-once)</w:t>
            </w:r>
          </w:p>
        </w:tc>
        <w:tc>
          <w:tcPr>
            <w:tcW w:type="dxa" w:w="4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Append-only. 7-year retention minimum.</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Observability</w:t>
            </w:r>
          </w:p>
        </w:tc>
        <w:tc>
          <w:tcPr>
            <w:tcW w:type="dxa" w:w="2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Cloud Monitoring + OpenTelemetry + Managed Grafana</w:t>
            </w:r>
          </w:p>
        </w:tc>
        <w:tc>
          <w:tcPr>
            <w:tcW w:type="dxa" w:w="4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Per-product match-rate dashboards, Tier distribution metrics, latency SLOs.</w:t>
            </w:r>
          </w:p>
        </w:tc>
      </w:tr>
      <w:tr>
        <w:tc>
          <w:tcPr>
            <w:tcW w:type="dxa" w:w="2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Secret Management</w:t>
            </w:r>
          </w:p>
        </w:tc>
        <w:tc>
          <w:tcPr>
            <w:tcW w:type="dxa" w:w="28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Google Secret Manager</w:t>
            </w:r>
          </w:p>
        </w:tc>
        <w:tc>
          <w:tcPr>
            <w:tcW w:type="dxa" w:w="45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API keys, OAuth secrets, platform_salt.</w:t>
            </w:r>
          </w:p>
        </w:tc>
      </w:tr>
      <w:tr>
        <w:tc>
          <w:tcPr>
            <w:tcW w:type="dxa" w:w="2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Container Orchestration</w:t>
            </w:r>
          </w:p>
        </w:tc>
        <w:tc>
          <w:tcPr>
            <w:tcW w:type="dxa" w:w="28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GKE (Autopilot recommended)</w:t>
            </w:r>
          </w:p>
        </w:tc>
        <w:tc>
          <w:tcPr>
            <w:tcW w:type="dxa" w:w="45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Auto-scaling, workload identity, VPC-native networking.</w:t>
            </w:r>
          </w:p>
        </w:tc>
      </w:tr>
    </w:tbl>
    <w:p>
      <w:pPr>
        <w:pStyle w:val="Heading1"/>
        <w:spacing w:before="360" w:after="160"/>
      </w:pPr>
      <w:r>
        <w:rPr>
          <w:rFonts w:ascii="Arial" w:cs="Arial" w:eastAsia="Arial" w:hAnsi="Arial"/>
          <w:b/>
          <w:bCs/>
          <w:color w:val="003087"/>
          <w:sz w:val="28"/>
          <w:szCs w:val="28"/>
        </w:rPr>
        <w:t xml:space="preserve">8. API Design</w:t>
      </w:r>
    </w:p>
    <w:p>
      <w:pPr>
        <w:pStyle w:val="Heading2"/>
        <w:spacing w:before="240" w:after="120"/>
      </w:pPr>
      <w:r>
        <w:rPr>
          <w:rFonts w:ascii="Arial" w:cs="Arial" w:eastAsia="Arial" w:hAnsi="Arial"/>
          <w:b/>
          <w:bCs/>
          <w:color w:val="1a73e8"/>
          <w:sz w:val="24"/>
          <w:szCs w:val="24"/>
        </w:rPr>
        <w:t xml:space="preserve">8.1 FI-Scoped REST Endpoints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Path</w:t>
            </w:r>
          </w:p>
        </w:tc>
        <w:tc>
          <w:tcPr>
            <w:tcW w:type="dxa" w:w="52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9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/v1/accounts/{idr_account_id}</w:t>
            </w:r>
          </w:p>
        </w:tc>
        <w:tc>
          <w:tcPr>
            <w:tcW w:type="dxa" w:w="5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Retrieve canonical account record (FI-scoped).</w:t>
            </w:r>
          </w:p>
        </w:tc>
      </w:tr>
      <w:tr>
        <w:tc>
          <w:tcPr>
            <w:tcW w:type="dxa" w:w="9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/v1/accounts/{idr_account_id}/customer</w:t>
            </w:r>
          </w:p>
        </w:tc>
        <w:tc>
          <w:tcPr>
            <w:tcW w:type="dxa" w:w="5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Retrieve the Customer/Member linked to an account.</w:t>
            </w:r>
          </w:p>
        </w:tc>
      </w:tr>
      <w:tr>
        <w:tc>
          <w:tcPr>
            <w:tcW w:type="dxa" w:w="9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/v1/customers/{idr_customer_id}</w:t>
            </w:r>
          </w:p>
        </w:tc>
        <w:tc>
          <w:tcPr>
            <w:tcW w:type="dxa" w:w="5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Retrieve canonical Customer/Member record.</w:t>
            </w:r>
          </w:p>
        </w:tc>
      </w:tr>
      <w:tr>
        <w:tc>
          <w:tcPr>
            <w:tcW w:type="dxa" w:w="9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/v1/customers/{idr_customer_id}/accounts</w:t>
            </w:r>
          </w:p>
        </w:tc>
        <w:tc>
          <w:tcPr>
            <w:tcW w:type="dxa" w:w="5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List all accounts linked to a Customer/Member.</w:t>
            </w:r>
          </w:p>
        </w:tc>
      </w:tr>
      <w:tr>
        <w:tc>
          <w:tcPr>
            <w:tcW w:type="dxa" w:w="9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/v1/customers/{idr_customer_id}/household</w:t>
            </w:r>
          </w:p>
        </w:tc>
        <w:tc>
          <w:tcPr>
            <w:tcW w:type="dxa" w:w="5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Retrieve household for this customer, if any.</w:t>
            </w:r>
          </w:p>
        </w:tc>
      </w:tr>
      <w:tr>
        <w:tc>
          <w:tcPr>
            <w:tcW w:type="dxa" w:w="9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/v1/households/{idr_household_id}</w:t>
            </w:r>
          </w:p>
        </w:tc>
        <w:tc>
          <w:tcPr>
            <w:tcW w:type="dxa" w:w="5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Retrieve Household record and member list.</w:t>
            </w:r>
          </w:p>
        </w:tc>
      </w:tr>
      <w:tr>
        <w:tc>
          <w:tcPr>
            <w:tcW w:type="dxa" w:w="9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POST</w:t>
            </w:r>
          </w:p>
        </w:tc>
        <w:tc>
          <w:tcPr>
            <w:tcW w:type="dxa" w:w="3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/v1/resolve</w:t>
            </w:r>
          </w:p>
        </w:tc>
        <w:tc>
          <w:tcPr>
            <w:tcW w:type="dxa" w:w="5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Ad-hoc resolution. Returns matched entity, bucket, and confidence.</w:t>
            </w:r>
          </w:p>
        </w:tc>
      </w:tr>
      <w:tr>
        <w:tc>
          <w:tcPr>
            <w:tcW w:type="dxa" w:w="9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/v1/review-queue</w:t>
            </w:r>
          </w:p>
        </w:tc>
        <w:tc>
          <w:tcPr>
            <w:tcW w:type="dxa" w:w="52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List records pending manual review (scoped to FI).</w:t>
            </w:r>
          </w:p>
        </w:tc>
      </w:tr>
      <w:tr>
        <w:tc>
          <w:tcPr>
            <w:tcW w:type="dxa" w:w="9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PATCH</w:t>
            </w:r>
          </w:p>
        </w:tc>
        <w:tc>
          <w:tcPr>
            <w:tcW w:type="dxa" w:w="3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/v1/review-queue/{decision_id}</w:t>
            </w:r>
          </w:p>
        </w:tc>
        <w:tc>
          <w:tcPr>
            <w:tcW w:type="dxa" w:w="52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Submit manual review decision (MERGE, SPLIT, REJECT).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8"/>
              <w:left w:val="single" w:color="1a73e8" w:sz="8"/>
              <w:bottom w:val="none"/>
              <w:right w:val="single" w:color="1a73e8" w:sz="8"/>
            </w:tcBorders>
            <w:shd w:fill="1a73e8" w:val="clear"/>
            <w:tcMar>
              <w:top w:type="dxa" w:w="80"/>
              <w:left w:type="dxa" w:w="120"/>
              <w:bottom w:type="dxa" w:w="60"/>
              <w:right w:type="dxa" w:w="120"/>
            </w:tcMar>
          </w:tcPr>
          <w:p>
            <w:r>
              <w:rPr>
                <w:rFonts w:ascii="Arial" w:cs="Arial" w:eastAsia="Arial" w:hAnsi="Arial"/>
                <w:b/>
                <w:bCs/>
                <w:color w:val="FFFFFF"/>
                <w:sz w:val="22"/>
                <w:szCs w:val="22"/>
              </w:rPr>
              <w:t xml:space="preserve">Tenant Isolation Enforcement</w:t>
            </w:r>
          </w:p>
        </w:tc>
      </w:tr>
      <w:tr>
        <w:tc>
          <w:tcPr>
            <w:tcW w:type="dxa" w:w="9360"/>
            <w:tcBorders>
              <w:top w:val="none"/>
              <w:left w:val="single" w:color="1a73e8" w:sz="8"/>
              <w:bottom w:val="single" w:color="1a73e8" w:sz="8"/>
              <w:right w:val="single" w:color="1a73e8" w:sz="8"/>
            </w:tcBorders>
            <w:shd w:fill="ebf3fb" w:val="clear"/>
            <w:tcMar>
              <w:top w:type="dxa" w:w="80"/>
              <w:left w:type="dxa" w:w="120"/>
              <w:bottom w:type="dxa" w:w="80"/>
              <w:right w:type="dxa" w:w="120"/>
            </w:tcMar>
          </w:tcPr>
          <w:p>
            <w:r>
              <w:rPr>
                <w:rFonts w:ascii="Arial" w:cs="Arial" w:eastAsia="Arial" w:hAnsi="Arial"/>
                <w:sz w:val="22"/>
                <w:szCs w:val="22"/>
              </w:rPr>
              <w:t xml:space="preserve">Every request is scoped to the fi_id in the OAuth bearer token claims. No fi_id parameter is accepted from the request body or path — it is always derived from the authenticated identity. A request cannot traverse FI boundaries.</w:t>
            </w:r>
          </w:p>
        </w:tc>
      </w:tr>
    </w:tbl>
    <w:p>
      <w:pPr>
        <w:pStyle w:val="Heading2"/>
        <w:spacing w:before="240" w:after="120"/>
      </w:pPr>
      <w:r>
        <w:rPr>
          <w:rFonts w:ascii="Arial" w:cs="Arial" w:eastAsia="Arial" w:hAnsi="Arial"/>
          <w:b/>
          <w:bCs/>
          <w:color w:val="1a73e8"/>
          <w:sz w:val="24"/>
          <w:szCs w:val="24"/>
        </w:rPr>
        <w:t xml:space="preserve">8.2 JHBI Internal Endpoints (Not Exposed to FIs)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rPr>
          <w:tblHeader/>
        </w:trPr>
        <w:tc>
          <w:tcPr>
            <w:tcW w:type="dxa" w:w="9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7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Path</w:t>
            </w:r>
          </w:p>
        </w:tc>
        <w:tc>
          <w:tcPr>
            <w:tcW w:type="dxa" w:w="4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9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/internal/v1/global/{idr_global_person_id}</w:t>
            </w:r>
          </w:p>
        </w:tc>
        <w:tc>
          <w:tcPr>
            <w:tcW w:type="dxa" w:w="4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Retrieve global person record with list of linked FI-scoped customer IDs.</w:t>
            </w:r>
          </w:p>
        </w:tc>
      </w:tr>
      <w:tr>
        <w:tc>
          <w:tcPr>
            <w:tcW w:type="dxa" w:w="9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7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/internal/v1/global/search?ssn_hash={h}</w:t>
            </w:r>
          </w:p>
        </w:tc>
        <w:tc>
          <w:tcPr>
            <w:tcW w:type="dxa" w:w="4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Look up a global person by platform-level SSN hash. JHBI analytics use only.</w:t>
            </w:r>
          </w:p>
        </w:tc>
      </w:tr>
      <w:tr>
        <w:tc>
          <w:tcPr>
            <w:tcW w:type="dxa" w:w="9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GET</w:t>
            </w:r>
          </w:p>
        </w:tc>
        <w:tc>
          <w:tcPr>
            <w:tcW w:type="dxa" w:w="37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/internal/v1/global/search?acct_routing={token}</w:t>
            </w:r>
          </w:p>
        </w:tc>
        <w:tc>
          <w:tcPr>
            <w:tcW w:type="dxa" w:w="4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Look up global person by account+routing token cross-FI.</w:t>
            </w:r>
          </w:p>
        </w:tc>
      </w:tr>
    </w:tbl>
    <w:p>
      <w:pPr>
        <w:pStyle w:val="Heading2"/>
        <w:spacing w:before="240" w:after="120"/>
      </w:pPr>
      <w:r>
        <w:rPr>
          <w:rFonts w:ascii="Arial" w:cs="Arial" w:eastAsia="Arial" w:hAnsi="Arial"/>
          <w:b/>
          <w:bCs/>
          <w:color w:val="1a73e8"/>
          <w:sz w:val="24"/>
          <w:szCs w:val="24"/>
        </w:rPr>
        <w:t xml:space="preserve">8.3 Authorization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OAuth Scope</w:t>
            </w:r>
          </w:p>
        </w:tc>
        <w:tc>
          <w:tcPr>
            <w:tcW w:type="dxa" w:w="71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Permitted Operations</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idr:read:accounts</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Read FI-scoped Account records.</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idr:read:customers</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Read FI-scoped Customer/Member records.</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idr:read:households</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Read FI-scoped Household records.</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idr:resolve</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Submit ad-hoc resolution requests via POST /v1/resolve.</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idr:review</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Access and act on manual review queue.</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idr:detokenize</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Retrieve plaintext PAN via detokenization. Highly restricted; separate approval workflow required.</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idr:global:read</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JHBI internal only. Read global person records and cross-FI links. Never granted to FIs.</w:t>
            </w:r>
          </w:p>
        </w:tc>
      </w:tr>
    </w:tbl>
    <w:p>
      <w:pPr>
        <w:pStyle w:val="Heading1"/>
        <w:spacing w:before="360" w:after="160"/>
      </w:pPr>
      <w:r>
        <w:rPr>
          <w:rFonts w:ascii="Arial" w:cs="Arial" w:eastAsia="Arial" w:hAnsi="Arial"/>
          <w:b/>
          <w:bCs/>
          <w:color w:val="003087"/>
          <w:sz w:val="28"/>
          <w:szCs w:val="28"/>
        </w:rPr>
        <w:t xml:space="preserve">9. Privacy and Compliance</w:t>
      </w:r>
    </w:p>
    <w:p>
      <w:pPr>
        <w:pStyle w:val="Heading2"/>
        <w:spacing w:before="240" w:after="120"/>
      </w:pPr>
      <w:r>
        <w:rPr>
          <w:rFonts w:ascii="Arial" w:cs="Arial" w:eastAsia="Arial" w:hAnsi="Arial"/>
          <w:b/>
          <w:bCs/>
          <w:color w:val="1a73e8"/>
          <w:sz w:val="24"/>
          <w:szCs w:val="24"/>
        </w:rPr>
        <w:t xml:space="preserve">9.1 PII Handling Principles</w:t>
      </w:r>
    </w:p>
    <w:p>
      <w:pPr>
        <w:pStyle w:val="ListParagraph"/>
        <w:numPr>
          <w:ilvl w:val="0"/>
          <w:numId w:val="2"/>
        </w:numPr>
        <w:spacing w:before="60" w:after="60"/>
      </w:pPr>
      <w:r>
        <w:rPr>
          <w:rFonts w:ascii="Arial" w:cs="Arial" w:eastAsia="Arial" w:hAnsi="Arial"/>
          <w:sz w:val="22"/>
          <w:szCs w:val="22"/>
        </w:rPr>
        <w:t xml:space="preserve">PII (SSN, account number, email, phone, IBAN) is stored in plaintext and protected by PostgreSQL Row-Level Security (fi_id isolation) and OAuth scope enforcement. Only card PANs are tokenized via Format-Preserving Encryption in the PCI Vault.</w:t>
      </w:r>
    </w:p>
    <w:p>
      <w:pPr>
        <w:pStyle w:val="ListParagraph"/>
        <w:numPr>
          <w:ilvl w:val="0"/>
          <w:numId w:val="2"/>
        </w:numPr>
        <w:spacing w:before="60" w:after="60"/>
      </w:pPr>
      <w:r>
        <w:rPr>
          <w:rFonts w:ascii="Arial" w:cs="Arial" w:eastAsia="Arial" w:hAnsi="Arial"/>
          <w:sz w:val="22"/>
          <w:szCs w:val="22"/>
        </w:rPr>
        <w:t xml:space="preserve">Cross-FI email/phone matching is architecturally restricted: the FI-facing Query API is strictly scoped to a single FI via OAuth token. The JH-Global link table uses only SSN-hash (computed at runtime) and account+routing comparison — email and phone are never used for cross-FI linking.</w:t>
      </w:r>
    </w:p>
    <w:p>
      <w:pPr>
        <w:pStyle w:val="ListParagraph"/>
        <w:numPr>
          <w:ilvl w:val="0"/>
          <w:numId w:val="2"/>
        </w:numPr>
        <w:spacing w:before="60" w:after="60"/>
      </w:pPr>
      <w:r>
        <w:rPr>
          <w:rFonts w:ascii="Arial" w:cs="Arial" w:eastAsia="Arial" w:hAnsi="Arial"/>
          <w:sz w:val="22"/>
          <w:szCs w:val="22"/>
        </w:rPr>
        <w:t xml:space="preserve">For JH-global linking, the resolution engine computes SHA-256(SSN + platform_salt) at runtime and compares against the global link index. The hash is not persisted in the entity table — only the resulting idr_global_person_id is written back.</w:t>
      </w:r>
    </w:p>
    <w:p>
      <w:pPr>
        <w:pStyle w:val="ListParagraph"/>
        <w:numPr>
          <w:ilvl w:val="0"/>
          <w:numId w:val="2"/>
        </w:numPr>
        <w:spacing w:before="60" w:after="60"/>
      </w:pPr>
      <w:r>
        <w:rPr>
          <w:rFonts w:ascii="Arial" w:cs="Arial" w:eastAsia="Arial" w:hAnsi="Arial"/>
          <w:sz w:val="22"/>
          <w:szCs w:val="22"/>
        </w:rPr>
        <w:t xml:space="preserve">Detokenization (PAN only) is always scoped, purpose-documented, and audit-logged.</w:t>
      </w:r>
    </w:p>
    <w:p>
      <w:pPr>
        <w:pStyle w:val="Heading2"/>
        <w:spacing w:before="240" w:after="120"/>
      </w:pPr>
      <w:r>
        <w:rPr>
          <w:rFonts w:ascii="Arial" w:cs="Arial" w:eastAsia="Arial" w:hAnsi="Arial"/>
          <w:b/>
          <w:bCs/>
          <w:color w:val="1a73e8"/>
          <w:sz w:val="24"/>
          <w:szCs w:val="24"/>
        </w:rPr>
        <w:t xml:space="preserve">9.2 Tenant Isolation Guarantees</w:t>
      </w:r>
    </w:p>
    <w:p>
      <w:pPr>
        <w:pStyle w:val="ListParagraph"/>
        <w:numPr>
          <w:ilvl w:val="0"/>
          <w:numId w:val="2"/>
        </w:numPr>
        <w:spacing w:before="60" w:after="60"/>
      </w:pPr>
      <w:r>
        <w:rPr>
          <w:rFonts w:ascii="Arial" w:cs="Arial" w:eastAsia="Arial" w:hAnsi="Arial"/>
          <w:b/>
          <w:bCs/>
          <w:sz w:val="22"/>
          <w:szCs w:val="22"/>
        </w:rPr>
        <w:t xml:space="preserve">Database: </w:t>
      </w:r>
      <w:r>
        <w:rPr>
          <w:rFonts w:ascii="Arial" w:cs="Arial" w:eastAsia="Arial" w:hAnsi="Arial"/>
          <w:sz w:val="22"/>
          <w:szCs w:val="22"/>
        </w:rPr>
        <w:t xml:space="preserve">Row-level security on all FI-entity tables enforced by PostgreSQL policy. fi_id is set at connection auth time from the OAuth token — not from the query.</w:t>
      </w:r>
    </w:p>
    <w:p>
      <w:pPr>
        <w:pStyle w:val="ListParagraph"/>
        <w:numPr>
          <w:ilvl w:val="0"/>
          <w:numId w:val="2"/>
        </w:numPr>
        <w:spacing w:before="60" w:after="60"/>
      </w:pPr>
      <w:r>
        <w:rPr>
          <w:rFonts w:ascii="Arial" w:cs="Arial" w:eastAsia="Arial" w:hAnsi="Arial"/>
          <w:b/>
          <w:bCs/>
          <w:sz w:val="22"/>
          <w:szCs w:val="22"/>
        </w:rPr>
        <w:t xml:space="preserve">Resolution Index: </w:t>
      </w:r>
      <w:r>
        <w:rPr>
          <w:rFonts w:ascii="Arial" w:cs="Arial" w:eastAsia="Arial" w:hAnsi="Arial"/>
          <w:sz w:val="22"/>
          <w:szCs w:val="22"/>
        </w:rPr>
        <w:t xml:space="preserve">Cloud Memorystore (Redis) keyspaces are prefixed by fi_id. No cross-FI key reads possible.</w:t>
      </w:r>
    </w:p>
    <w:p>
      <w:pPr>
        <w:pStyle w:val="ListParagraph"/>
        <w:numPr>
          <w:ilvl w:val="0"/>
          <w:numId w:val="2"/>
        </w:numPr>
        <w:spacing w:before="60" w:after="60"/>
      </w:pPr>
      <w:r>
        <w:rPr>
          <w:rFonts w:ascii="Arial" w:cs="Arial" w:eastAsia="Arial" w:hAnsi="Arial"/>
          <w:b/>
          <w:bCs/>
          <w:sz w:val="22"/>
          <w:szCs w:val="22"/>
        </w:rPr>
        <w:t xml:space="preserve">Global Link Index: </w:t>
      </w:r>
      <w:r>
        <w:rPr>
          <w:rFonts w:ascii="Arial" w:cs="Arial" w:eastAsia="Arial" w:hAnsi="Arial"/>
          <w:sz w:val="22"/>
          <w:szCs w:val="22"/>
        </w:rPr>
        <w:t xml:space="preserve">Accessible only from the JHBI-internal process using the idr:global:read scope. Not accessible via the FI-facing Query API.</w:t>
      </w:r>
    </w:p>
    <w:p>
      <w:pPr>
        <w:pStyle w:val="ListParagraph"/>
        <w:numPr>
          <w:ilvl w:val="0"/>
          <w:numId w:val="2"/>
        </w:numPr>
        <w:spacing w:before="60" w:after="60"/>
      </w:pPr>
      <w:r>
        <w:rPr>
          <w:rFonts w:ascii="Arial" w:cs="Arial" w:eastAsia="Arial" w:hAnsi="Arial"/>
          <w:b/>
          <w:bCs/>
          <w:sz w:val="22"/>
          <w:szCs w:val="22"/>
        </w:rPr>
        <w:t xml:space="preserve">Email / Phone Isolation: </w:t>
      </w:r>
      <w:r>
        <w:rPr>
          <w:rFonts w:ascii="Arial" w:cs="Arial" w:eastAsia="Arial" w:hAnsi="Arial"/>
          <w:sz w:val="22"/>
          <w:szCs w:val="22"/>
        </w:rPr>
        <w:t xml:space="preserve">Plaintext fields scoped entirely by RLS. Identical email at FI-A and FI-B are never compared cross-FI — the architecture does not permit it.</w:t>
      </w:r>
    </w:p>
    <w:p>
      <w:pPr>
        <w:pStyle w:val="Heading2"/>
        <w:spacing w:before="240" w:after="120"/>
      </w:pPr>
      <w:r>
        <w:rPr>
          <w:rFonts w:ascii="Arial" w:cs="Arial" w:eastAsia="Arial" w:hAnsi="Arial"/>
          <w:b/>
          <w:bCs/>
          <w:color w:val="1a73e8"/>
          <w:sz w:val="24"/>
          <w:szCs w:val="24"/>
        </w:rPr>
        <w:t xml:space="preserve">9.3 Regulatory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Regulation</w:t>
            </w:r>
          </w:p>
        </w:tc>
        <w:tc>
          <w:tcPr>
            <w:tcW w:type="dxa" w:w="7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Design Consideration</w:t>
            </w:r>
          </w:p>
        </w:tc>
      </w:tr>
      <w:tr>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GLBA</w:t>
            </w:r>
          </w:p>
        </w:tc>
        <w:tc>
          <w:tcPr>
            <w:tcW w:type="dxa" w:w="7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All NPI protected by RLS and OAuth scope. FI-level data isolation satisfies safeguards rule. Detokenization requires documented purpose.</w:t>
            </w:r>
          </w:p>
        </w:tc>
      </w:tr>
      <w:tr>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CCPA / State Privacy</w:t>
            </w:r>
          </w:p>
        </w:tc>
        <w:tc>
          <w:tcPr>
            <w:tcW w:type="dxa" w:w="7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Right-to-delete: soft-delete marks Customer/Member DELETED and removes PCI Vault entries. Canonical IDs retained for audit log referential integrity.</w:t>
            </w:r>
          </w:p>
        </w:tc>
      </w:tr>
      <w:tr>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BSA / AML</w:t>
            </w:r>
          </w:p>
        </w:tc>
        <w:tc>
          <w:tcPr>
            <w:tcW w:type="dxa" w:w="7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 identity anchor supports consistent entity identification across all payment rails. Household linkage improves beneficial ownership accuracy for SAR filings.</w:t>
            </w:r>
          </w:p>
        </w:tc>
      </w:tr>
      <w:tr>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FCRA</w:t>
            </w:r>
          </w:p>
        </w:tc>
        <w:tc>
          <w:tcPr>
            <w:tcW w:type="dxa" w:w="7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IDR is not a consumer reporting function. Resolved data must not be used for credit eligibility decisions.</w:t>
            </w:r>
          </w:p>
        </w:tc>
      </w:tr>
      <w:tr>
        <w:tc>
          <w:tcPr>
            <w:tcW w:type="dxa" w:w="1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ISO 20022</w:t>
            </w:r>
          </w:p>
        </w:tc>
        <w:tc>
          <w:tcPr>
            <w:tcW w:type="dxa" w:w="7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JH Wires and FedNow are ISO 20022 native. The IDR identity extraction layer maps ISO 20022 party elements (FinancialInstitutionIdentification, PartyIdentification) to IDR signals.</w:t>
            </w:r>
          </w:p>
        </w:tc>
      </w:tr>
      <w:tr>
        <w:tc>
          <w:tcPr>
            <w:tcW w:type="dxa" w:w="1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PCI DSS</w:t>
            </w:r>
          </w:p>
        </w:tc>
        <w:tc>
          <w:tcPr>
            <w:tcW w:type="dxa" w:w="7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Card data from Tap2Local/EPS gateway enters as tokenized PANs. The IDR system never stores raw PANs. BK-8 (PAN token) is handled within PCI scope boundary at the Tokenization Service layer.</w:t>
            </w:r>
          </w:p>
        </w:tc>
      </w:tr>
    </w:tbl>
    <w:p>
      <w:pPr>
        <w:pStyle w:val="Heading1"/>
        <w:spacing w:before="360" w:after="160"/>
      </w:pPr>
      <w:r>
        <w:rPr>
          <w:rFonts w:ascii="Arial" w:cs="Arial" w:eastAsia="Arial" w:hAnsi="Arial"/>
          <w:b/>
          <w:bCs/>
          <w:color w:val="003087"/>
          <w:sz w:val="28"/>
          <w:szCs w:val="28"/>
        </w:rPr>
        <w:t xml:space="preserve">10. Implementation Plan — Deterministic Core</w:t>
      </w:r>
    </w:p>
    <w:p>
      <w:pPr>
        <w:spacing w:before="80" w:after="100"/>
      </w:pPr>
      <w:r>
        <w:rPr>
          <w:rFonts w:ascii="Arial" w:cs="Arial" w:eastAsia="Arial" w:hAnsi="Arial"/>
          <w:sz w:val="22"/>
          <w:szCs w:val="22"/>
        </w:rPr>
        <w:t xml:space="preserve">This release delivers a working, production-grade FI-scoped identity resolution capability using deterministic blocking (BK-1 through BK-5) with the Tier 1–3 auto-merge rules and Tier 4–5 stub creation. It covers the two highest-value source products (SilverLake and ACH) first, with a sequenced adapter rollout for remaining products.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7400" w:sz="8"/>
              <w:left w:val="single" w:color="e37400" w:sz="8"/>
              <w:bottom w:val="single" w:color="e37400" w:sz="8"/>
              <w:right w:val="single" w:color="e37400" w:sz="8"/>
            </w:tcBorders>
            <w:shd w:fill="fff8e1" w:val="clear"/>
            <w:tcMar>
              <w:top w:type="dxa" w:w="80"/>
              <w:left w:type="dxa" w:w="120"/>
              <w:bottom w:type="dxa" w:w="80"/>
              <w:right w:type="dxa" w:w="120"/>
            </w:tcMar>
          </w:tcPr>
          <w:p>
            <w:r>
              <w:rPr>
                <w:rFonts w:ascii="Arial" w:cs="Arial" w:eastAsia="Arial" w:hAnsi="Arial"/>
                <w:sz w:val="22"/>
                <w:szCs w:val="22"/>
              </w:rPr>
              <w:t xml:space="preserve">Phases 2–4 (additional adapters, probabilistic matching, graph enrichment) are intentionally out of scope for this release and are documented in JH_Identity_Resolution_Futures_v0.1.docx.</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Deliverable</w:t>
            </w:r>
          </w:p>
        </w:tc>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Effort</w:t>
            </w:r>
          </w:p>
        </w:tc>
        <w:tc>
          <w:tcPr>
            <w:tcW w:type="dxa" w:w="37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4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SilverLake/Symitar baseline seeding (resolution_method=SEEDED)</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Milestone 0</w:t>
            </w:r>
          </w:p>
        </w:tc>
        <w:tc>
          <w:tcPr>
            <w:tcW w:type="dxa" w:w="3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Bulk CIF load establishes baseline entity index before live event processing.</w:t>
            </w:r>
          </w:p>
        </w:tc>
      </w:tr>
      <w:tr>
        <w:tc>
          <w:tcPr>
            <w:tcW w:type="dxa" w:w="4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Canonical entity schema + migrations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2 weeks</w:t>
            </w:r>
          </w:p>
        </w:tc>
        <w:tc>
          <w:tcPr>
            <w:tcW w:type="dxa" w:w="3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PostgreSQL temporal tables, RLS policies, FI partitioning on Cloud SQL.</w:t>
            </w:r>
          </w:p>
        </w:tc>
      </w:tr>
      <w:tr>
        <w:tc>
          <w:tcPr>
            <w:tcW w:type="dxa" w:w="4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PCI Vault (Optional — card data only, deferred unless Tap2Local / EPS gateway is in scope)</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3 weeks</w:t>
            </w:r>
          </w:p>
        </w:tc>
        <w:tc>
          <w:tcPr>
            <w:tcW w:type="dxa" w:w="3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FF3-1 FPE for card PANs only (BK-8). Not required for Tiers 1–4.</w:t>
            </w:r>
          </w:p>
        </w:tc>
      </w:tr>
      <w:tr>
        <w:tc>
          <w:tcPr>
            <w:tcW w:type="dxa" w:w="4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Resolution Index (Cloud Memorystore / Redis) — FI-scoped + Global</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1 week</w:t>
            </w:r>
          </w:p>
        </w:tc>
        <w:tc>
          <w:tcPr>
            <w:tcW w:type="dxa" w:w="3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Separate keyspaces for FI and global indexes.</w:t>
            </w:r>
          </w:p>
        </w:tc>
      </w:tr>
      <w:tr>
        <w:tc>
          <w:tcPr>
            <w:tcW w:type="dxa" w:w="4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SilverLake Adapter</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2 weeks</w:t>
            </w:r>
          </w:p>
        </w:tc>
        <w:tc>
          <w:tcPr>
            <w:tcW w:type="dxa" w:w="3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Richest identity signals; sets the resolution baseline.</w:t>
            </w:r>
          </w:p>
        </w:tc>
      </w:tr>
      <w:tr>
        <w:tc>
          <w:tcPr>
            <w:tcW w:type="dxa" w:w="4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ACH (EPS) Adapter</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2 weeks</w:t>
            </w:r>
          </w:p>
        </w:tc>
        <w:tc>
          <w:tcPr>
            <w:tcW w:type="dxa" w:w="3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SEC code entity-type inference. BK-2 as primary blocking key.</w:t>
            </w:r>
          </w:p>
        </w:tc>
      </w:tr>
      <w:tr>
        <w:tc>
          <w:tcPr>
            <w:tcW w:type="dxa" w:w="4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Resolution Engine — Blocking + Bucket Tiers 1–5</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3 weeks</w:t>
            </w:r>
          </w:p>
        </w:tc>
        <w:tc>
          <w:tcPr>
            <w:tcW w:type="dxa" w:w="3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Deterministic rules for Tiers 1–3 auto-merge; stub creation for 4–5. Pluggable scorer interface included for future use.</w:t>
            </w:r>
          </w:p>
        </w:tc>
      </w:tr>
      <w:tr>
        <w:tc>
          <w:tcPr>
            <w:tcW w:type="dxa" w:w="4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Cross-FI Global Linking (JHBI internal)</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2 weeks</w:t>
            </w:r>
          </w:p>
        </w:tc>
        <w:tc>
          <w:tcPr>
            <w:tcW w:type="dxa" w:w="3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Platform-level SSN hash and account-token cross-FI index.</w:t>
            </w:r>
          </w:p>
        </w:tc>
      </w:tr>
      <w:tr>
        <w:tc>
          <w:tcPr>
            <w:tcW w:type="dxa" w:w="4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Manual Review Queue + UI</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2 weeks</w:t>
            </w:r>
          </w:p>
        </w:tc>
        <w:tc>
          <w:tcPr>
            <w:tcW w:type="dxa" w:w="3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SUSPECT record workflow.</w:t>
            </w:r>
          </w:p>
        </w:tc>
      </w:tr>
      <w:tr>
        <w:tc>
          <w:tcPr>
            <w:tcW w:type="dxa" w:w="4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Query API — FI-scoped REST (Cloud Endpoints + Cloud Armor)</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2 weeks</w:t>
            </w:r>
          </w:p>
        </w:tc>
        <w:tc>
          <w:tcPr>
            <w:tcW w:type="dxa" w:w="3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Core read endpoints + /v1/resolve.</w:t>
            </w:r>
          </w:p>
        </w:tc>
      </w:tr>
      <w:tr>
        <w:tc>
          <w:tcPr>
            <w:tcW w:type="dxa" w:w="4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Audit Logging (BigQuery / Cloud Storage)</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1 week</w:t>
            </w:r>
          </w:p>
        </w:tc>
        <w:tc>
          <w:tcPr>
            <w:tcW w:type="dxa" w:w="37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match_decision_log with full feature vectors. 7-year retention.</w:t>
            </w:r>
          </w:p>
        </w:tc>
      </w:tr>
      <w:tr>
        <w:tc>
          <w:tcPr>
            <w:tcW w:type="dxa" w:w="4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Observability (Cloud Monitoring + Grafana)</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1 week</w:t>
            </w:r>
          </w:p>
        </w:tc>
        <w:tc>
          <w:tcPr>
            <w:tcW w:type="dxa" w:w="37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Match-rate dashboards, Tier distribution, latency SLOs.</w:t>
            </w:r>
          </w:p>
        </w:tc>
      </w:tr>
    </w:tbl>
    <w:p>
      <w:pPr>
        <w:spacing w:before="80" w:after="80"/>
      </w:pPr>
    </w:p>
    <w:p>
      <w:pPr>
        <w:spacing w:before="80" w:after="100"/>
      </w:pPr>
      <w:r>
        <w:rPr>
          <w:rFonts w:ascii="Arial" w:cs="Arial" w:eastAsia="Arial" w:hAnsi="Arial"/>
          <w:b/>
          <w:bCs/>
          <w:sz w:val="22"/>
          <w:szCs w:val="22"/>
        </w:rPr>
        <w:t xml:space="preserve">Total estimated effort: </w:t>
      </w:r>
      <w:r>
        <w:rPr>
          <w:rFonts w:ascii="Arial" w:cs="Arial" w:eastAsia="Arial" w:hAnsi="Arial"/>
          <w:sz w:val="22"/>
          <w:szCs w:val="22"/>
        </w:rPr>
        <w:t xml:space="preserve">approximately 22 engineering weeks across a team of 3–4 engineers.</w:t>
      </w:r>
    </w:p>
    <w:p>
      <w:pPr>
        <w:spacing w:before="80" w:after="100"/>
      </w:pPr>
      <w:r>
        <w:rPr>
          <w:rFonts w:ascii="Arial" w:cs="Arial" w:eastAsia="Arial" w:hAnsi="Arial"/>
          <w:sz w:val="22"/>
          <w:szCs w:val="22"/>
        </w:rPr>
        <w:t xml:space="preserve">Remaining product adapters (PayCenter, Payrailz, iPay, Wires, Banno, Biz Pay, EPS Check/RDC, Tap2Local) are sequenced in the Futures document as Phase 2.</w:t>
      </w:r>
    </w:p>
    <w:p>
      <w:pPr>
        <w:pStyle w:val="Heading1"/>
        <w:spacing w:before="360" w:after="160"/>
      </w:pPr>
      <w:r>
        <w:rPr>
          <w:rFonts w:ascii="Arial" w:cs="Arial" w:eastAsia="Arial" w:hAnsi="Arial"/>
          <w:b/>
          <w:bCs/>
          <w:color w:val="003087"/>
          <w:sz w:val="28"/>
          <w:szCs w:val="28"/>
        </w:rPr>
        <w:t xml:space="preserve">11. Frequently Asked Questions</w:t>
      </w:r>
    </w:p>
    <w:p>
      <w:pPr>
        <w:spacing w:before="80" w:after="100"/>
      </w:pPr>
      <w:r>
        <w:rPr>
          <w:rFonts w:ascii="Arial" w:cs="Arial" w:eastAsia="Arial" w:hAnsi="Arial"/>
          <w:sz w:val="22"/>
          <w:szCs w:val="22"/>
        </w:rPr>
        <w:t xml:space="preserve">This section addresses the most common questions from financial institution clients, JHBI product stakeholders, engineering, and compliance teams. Questions are organized by audience.</w:t>
      </w:r>
    </w:p>
    <w:p>
      <w:pPr>
        <w:pStyle w:val="Heading2"/>
        <w:spacing w:before="240" w:after="120"/>
      </w:pPr>
      <w:r>
        <w:rPr>
          <w:rFonts w:ascii="Arial" w:cs="Arial" w:eastAsia="Arial" w:hAnsi="Arial"/>
          <w:b/>
          <w:bCs/>
          <w:color w:val="1a73e8"/>
          <w:sz w:val="24"/>
          <w:szCs w:val="24"/>
        </w:rPr>
        <w:t xml:space="preserve">11.1 Financial Institution (Customer) FAQs</w:t>
      </w:r>
    </w:p>
    <w:p>
      <w:pPr>
        <w:spacing w:before="200" w:after="60"/>
      </w:pPr>
      <w:r>
        <w:rPr>
          <w:rFonts w:ascii="Arial" w:cs="Arial" w:eastAsia="Arial" w:hAnsi="Arial"/>
          <w:b/>
          <w:bCs/>
          <w:color w:val="003087"/>
          <w:sz w:val="22"/>
          <w:szCs w:val="22"/>
        </w:rPr>
        <w:t xml:space="preserve">Q: How does IDR protect my customers’ PII?</w:t>
      </w:r>
    </w:p>
    <w:p>
      <w:pPr>
        <w:spacing w:before="60" w:after="80"/>
      </w:pPr>
      <w:r>
        <w:rPr>
          <w:rFonts w:ascii="Arial" w:cs="Arial" w:eastAsia="Arial" w:hAnsi="Arial"/>
          <w:sz w:val="22"/>
          <w:szCs w:val="22"/>
        </w:rPr>
        <w:t xml:space="preserve">A: All personally identifiable information — account numbers, SSN/TIN, email addresses, and phone numbers — is stored in plaintext within your dedicated, FI-scoped partition of Cloud SQL, protected by PostgreSQL Row-Level Security policies tied to your institution’s fi_id. Only card PANs are tokenized (via Format-Preserving Encryption in the PCI Vault). No PII from your institution is ever compared with, shared with, or visible to any other Jack Henry client. Your fi_id acts as a hard isolation key enforced at the database layer, the Redis layer, and the OAuth token layer simultaneously.</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Can I see data from other financial institutions?</w:t>
      </w:r>
    </w:p>
    <w:p>
      <w:pPr>
        <w:spacing w:before="60" w:after="80"/>
      </w:pPr>
      <w:r>
        <w:rPr>
          <w:rFonts w:ascii="Arial" w:cs="Arial" w:eastAsia="Arial" w:hAnsi="Arial"/>
          <w:sz w:val="22"/>
          <w:szCs w:val="22"/>
        </w:rPr>
        <w:t xml:space="preserve">A: No. The FI-facing Query API is architecturally incapable of returning data outside your fi_id scope. The fi_id is derived exclusively from your OAuth bearer token — it cannot be supplied as a request parameter. A JH-Global cross-FI identity tier exists for internal JHBI analytics, but it is isolated from all FI-facing API surfaces and is never returned through any FI-accessible endpoint.</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happens when two identity records can’t be automatically resolved?</w:t>
      </w:r>
    </w:p>
    <w:p>
      <w:pPr>
        <w:spacing w:before="60" w:after="80"/>
      </w:pPr>
      <w:r>
        <w:rPr>
          <w:rFonts w:ascii="Arial" w:cs="Arial" w:eastAsia="Arial" w:hAnsi="Arial"/>
          <w:sz w:val="22"/>
          <w:szCs w:val="22"/>
        </w:rPr>
        <w:t xml:space="preserve">A: Records that fall below the auto-merge confidence threshold (Tier 3 with a conflicting strong signal, or Tier 4 INFERRED) are placed in a Manual Review Queue with a PENDING status and a 5-business-day SLA. Your designated operators can review the feature vectors, approve a merge, split the records, or reject the proposed link. All decisions are logged immutably in the audit trail.</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Does IDR replace my existing core banking customer data system?</w:t>
      </w:r>
    </w:p>
    <w:p>
      <w:pPr>
        <w:spacing w:before="60" w:after="80"/>
      </w:pPr>
      <w:r>
        <w:rPr>
          <w:rFonts w:ascii="Arial" w:cs="Arial" w:eastAsia="Arial" w:hAnsi="Arial"/>
          <w:sz w:val="22"/>
          <w:szCs w:val="22"/>
        </w:rPr>
        <w:t xml:space="preserve">A: No. IDR is a lightweight resolution layer, not a system-of-record replacement. It does not modify your core banking data. It creates a parallel canonical identity index (idr_customer_id, idr_account_id) that unifies signals across payment products, and exposes those resolved identities via a read-only API. Your SilverLake or Symitar CIF remains the authoritative source of record.</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How does IDR handle business accounts vs. individual accounts?</w:t>
      </w:r>
    </w:p>
    <w:p>
      <w:pPr>
        <w:spacing w:before="60" w:after="80"/>
      </w:pPr>
      <w:r>
        <w:rPr>
          <w:rFonts w:ascii="Arial" w:cs="Arial" w:eastAsia="Arial" w:hAnsi="Arial"/>
          <w:sz w:val="22"/>
          <w:szCs w:val="22"/>
        </w:rPr>
        <w:t xml:space="preserve">A: IDR infers entity type (INDIVIDUAL vs. BUSINESS) from multiple signals: the ACH SEC code (e.g., CCD and CTX indicate business-to-business; PPD indicates consumer), the EIN/TIN field from core data, and payment context (e.g., bill pay biller IDs). Business entities resolve to Customer/Member records with entity_type=BUSINESS and are never assigned to households. Payroll and B2V (Business-to-Vendor) payments use EIN hashes as BK-1 equivalents.</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does ‘household’ mean in IDR, and how is it formed?</w:t>
      </w:r>
    </w:p>
    <w:p>
      <w:pPr>
        <w:spacing w:before="60" w:after="80"/>
      </w:pPr>
      <w:r>
        <w:rPr>
          <w:rFonts w:ascii="Arial" w:cs="Arial" w:eastAsia="Arial" w:hAnsi="Arial"/>
          <w:sz w:val="22"/>
          <w:szCs w:val="22"/>
        </w:rPr>
        <w:t xml:space="preserve">A: A Household is a grouping of two or more FULL-profile (JH account holder) Customer/Member individuals at the same FI who share a primary address and/or a declared relationship. Households are formed automatically in three ways: joint account ownership (confidence 0.95), shared USPS-normalized address plus same last name (confidence 0.75), or an explicit household declaration from the core banking system (confidence 1.0). External counterparties, billers, and merchants are never assigned to households.</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does the SilverLake baseline seeding process do, and will it affect my core system?</w:t>
      </w:r>
    </w:p>
    <w:p>
      <w:pPr>
        <w:spacing w:before="60" w:after="80"/>
      </w:pPr>
      <w:r>
        <w:rPr>
          <w:rFonts w:ascii="Arial" w:cs="Arial" w:eastAsia="Arial" w:hAnsi="Arial"/>
          <w:sz w:val="22"/>
          <w:szCs w:val="22"/>
        </w:rPr>
        <w:t xml:space="preserve">A: The seeding process is a one-time read-only bulk extraction of CIF records from SilverLake/Symitar via CDC (Change Data Capture). It does not write back to or modify your core system in any way. It establishes an initial entity index in IDR so that the first live payment events can resolve against a populated baseline rather than starting from zero. The seeding job is idempotent and can be re-run without creating duplicates.</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API does IDR expose, and who can call it?</w:t>
      </w:r>
    </w:p>
    <w:p>
      <w:pPr>
        <w:spacing w:before="60" w:after="80"/>
      </w:pPr>
      <w:r>
        <w:rPr>
          <w:rFonts w:ascii="Arial" w:cs="Arial" w:eastAsia="Arial" w:hAnsi="Arial"/>
          <w:sz w:val="22"/>
          <w:szCs w:val="22"/>
        </w:rPr>
        <w:t xml:space="preserve">A: IDR exposes a REST API (documented in Section 8) with endpoints for looking up accounts, customers, households, and submitting ad-hoc resolution requests. Access is controlled by OAuth scopes. FI client applications authenticate with a bearer token scoped to their fi_id. Internal JH product teams (e.g., Banno, Payrailz) can be granted read scopes. Detokenization (for card PANs) requires a separately approved, restricted scope. No FI can call the JHBI internal endpoints.</w:t>
      </w:r>
    </w:p>
    <w:p>
      <w:pPr>
        <w:pBdr>
          <w:bottom w:val="single" w:color="dadce0" w:sz="4" w:space="1"/>
        </w:pBdr>
        <w:spacing w:before="0" w:after="0"/>
      </w:pPr>
    </w:p>
    <w:p>
      <w:pPr>
        <w:pStyle w:val="Heading2"/>
        <w:spacing w:before="240" w:after="120"/>
      </w:pPr>
      <w:r>
        <w:rPr>
          <w:rFonts w:ascii="Arial" w:cs="Arial" w:eastAsia="Arial" w:hAnsi="Arial"/>
          <w:b/>
          <w:bCs/>
          <w:color w:val="1a73e8"/>
          <w:sz w:val="24"/>
          <w:szCs w:val="24"/>
        </w:rPr>
        <w:t xml:space="preserve">11.2 Internal Stakeholder FAQs</w:t>
      </w:r>
    </w:p>
    <w:p>
      <w:pPr>
        <w:spacing w:before="200" w:after="60"/>
      </w:pPr>
      <w:r>
        <w:rPr>
          <w:rFonts w:ascii="Arial" w:cs="Arial" w:eastAsia="Arial" w:hAnsi="Arial"/>
          <w:b/>
          <w:bCs/>
          <w:color w:val="003087"/>
          <w:sz w:val="22"/>
          <w:szCs w:val="22"/>
        </w:rPr>
        <w:t xml:space="preserve">Q: Why build IDR in-house rather than purchasing a commercial MDM or identity graph solution (LexisNexis, Acxiom, etc.)?</w:t>
      </w:r>
    </w:p>
    <w:p>
      <w:pPr>
        <w:spacing w:before="60" w:after="80"/>
      </w:pPr>
      <w:r>
        <w:rPr>
          <w:rFonts w:ascii="Arial" w:cs="Arial" w:eastAsia="Arial" w:hAnsi="Arial"/>
          <w:sz w:val="22"/>
          <w:szCs w:val="22"/>
        </w:rPr>
        <w:t xml:space="preserve">A: Commercial identity graph vendors require transmitting customer PII to a third party, which creates GLBA and contractual obligations across ~9,000 FI clients and their regulators. It also introduces a dependency on an external party’s data model and pricing. The JH payments domain has highly structured, reliable identity signals (SSN from core, ACH account+routing, Zelle tokens) that make deterministic resolution both feasible and high-precision without probabilistic enrichment. An in-house system also allows JH to own the cross-FI global identity tier — a capability no external vendor can provide within JH’s tenant-isolation architecture.</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is the risk of false-positive matches (incorrectly linking two different people)?</w:t>
      </w:r>
    </w:p>
    <w:p>
      <w:pPr>
        <w:spacing w:before="60" w:after="80"/>
      </w:pPr>
      <w:r>
        <w:rPr>
          <w:rFonts w:ascii="Arial" w:cs="Arial" w:eastAsia="Arial" w:hAnsi="Arial"/>
          <w:sz w:val="22"/>
          <w:szCs w:val="22"/>
        </w:rPr>
        <w:t xml:space="preserve">A: The deterministic-only design for this release is specifically chosen to minimize false positives. Tier 1 (SSN hash) and Tier 2 (account+routing) are extremely low false-positive signals. Tier 3 (email/phone) can produce false positives in edge cases (shared family email, phone number recycling) and is therefore subject to conflict detection: if a Tier-3 match conflicts with an existing Tier-1 (SSN) match, the record is routed to manual review rather than auto-merged. BK-6 (Name+Zip) is intentionally excluded as a standalone matching key. All match decisions are logged with full feature vectors for ongoing quality monitoring.</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Why are BK-3 and BK-4 (email/phone) excluded from cross-FI linking?</w:t>
      </w:r>
    </w:p>
    <w:p>
      <w:pPr>
        <w:spacing w:before="60" w:after="80"/>
      </w:pPr>
      <w:r>
        <w:rPr>
          <w:rFonts w:ascii="Arial" w:cs="Arial" w:eastAsia="Arial" w:hAnsi="Arial"/>
          <w:sz w:val="22"/>
          <w:szCs w:val="22"/>
        </w:rPr>
        <w:t xml:space="preserve">A: Email addresses and phone numbers are stored in plaintext per FI. To compare them cross-FI, the resolution engine would need to either centralize plaintext PII from all FIs (unacceptable — GLBA violation) or apply a shared global salt (which creates a persistent cross-FI linkage risk). SSN hashes and account+routing tokens do not have this problem: SSN comparison uses a platform-level salt computed only at runtime (never persisted), and account+routing numbers are inherently cross-FI identifiers. The design prioritizes privacy-by-architecture over matching coverage.</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data volumes does IDR need to support?</w:t>
      </w:r>
    </w:p>
    <w:p>
      <w:pPr>
        <w:spacing w:before="60" w:after="80"/>
      </w:pPr>
      <w:r>
        <w:rPr>
          <w:rFonts w:ascii="Arial" w:cs="Arial" w:eastAsia="Arial" w:hAnsi="Arial"/>
          <w:sz w:val="22"/>
          <w:szCs w:val="22"/>
        </w:rPr>
        <w:t xml:space="preserve">A: Jack Henry processes approximately 10–15 billion payment transactions annually across its ~9,000 FI clients. IDR processes identity events, not the full payment transactions, so the volume is lower (one event per new or changed identity signal). The Redis Resolution Index is sized for O(1) lookup at any event rate. The GKE resolution engine pods are stateless and horizontally scalable. Cloud SQL PostgreSQL with temporal tables is partitioned by fi_id. Initial sizing targets sub-500ms end-to-end latency for FI-scoped resolution events, with the cross-FI global linking running as a nightly batch.</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happens if a source product’s adapter fails or falls behind?</w:t>
      </w:r>
    </w:p>
    <w:p>
      <w:pPr>
        <w:spacing w:before="60" w:after="80"/>
      </w:pPr>
      <w:r>
        <w:rPr>
          <w:rFonts w:ascii="Arial" w:cs="Arial" w:eastAsia="Arial" w:hAnsi="Arial"/>
          <w:sz w:val="22"/>
          <w:szCs w:val="22"/>
        </w:rPr>
        <w:t xml:space="preserve">A: Product adapters are independent microservices on GKE, deployed and versioned separately. A failure in the Payrailz adapter does not affect resolution for ACH or SilverLake events. Cloud Pub/Sub is durable and replay-capable — events are retained and the adapter can catch up after recovery. The resolution engine is idempotent: re-processing the same event does not create duplicate entities (enforced by idr_event_idempotency table). Per-adapter lag metrics are monitored in Cloud Monitoring with SLO breach alerting.</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How does IDR interact with the existing JHBI silver layer data platform?</w:t>
      </w:r>
    </w:p>
    <w:p>
      <w:pPr>
        <w:spacing w:before="60" w:after="80"/>
      </w:pPr>
      <w:r>
        <w:rPr>
          <w:rFonts w:ascii="Arial" w:cs="Arial" w:eastAsia="Arial" w:hAnsi="Arial"/>
          <w:sz w:val="22"/>
          <w:szCs w:val="22"/>
        </w:rPr>
        <w:t xml:space="preserve">A: IDR is designed as a first-class consumer of the JHBI silver layer. The silver layer normalizes all payment types into a unified originator/destination schema. IDR subscribes to silver layer CDC events via Cloud Pub/Sub, extracts identity signals from both parties of every payment, and writes resolved idr_customer_id and idr_account_id references back to enriched event records. Downstream JHBI analytics can join on idr_customer_id to get consistent entity views across all payment products without building their own deduplication logic.</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compliance posture does IDR take with respect to GLBA and state privacy laws?</w:t>
      </w:r>
    </w:p>
    <w:p>
      <w:pPr>
        <w:spacing w:before="60" w:after="80"/>
      </w:pPr>
      <w:r>
        <w:rPr>
          <w:rFonts w:ascii="Arial" w:cs="Arial" w:eastAsia="Arial" w:hAnsi="Arial"/>
          <w:sz w:val="22"/>
          <w:szCs w:val="22"/>
        </w:rPr>
        <w:t xml:space="preserve">A: IDR’s architecture is designed for GLBA compliance: all Non-Public Personal Information is isolated per-FI via RLS, no NPI crosses tenant boundaries, detokenization is purpose-documented and audit-logged, and the right-to-delete is implemented as a soft-delete that removes PCI Vault entries while preserving referential integrity in the audit log. For state privacy laws (CCPA, VCDPA, etc.), the soft-delete mechanism also suppresses the resolved entity from query results. IDR is explicitly not a consumer reporting system (FCRA), and resolved identity data must not be used for credit eligibility decisions — this restriction is documented in the data governance policy accompanying this design.</w:t>
      </w:r>
    </w:p>
    <w:p>
      <w:pPr>
        <w:pBdr>
          <w:bottom w:val="single" w:color="dadce0" w:sz="4" w:space="1"/>
        </w:pBdr>
        <w:spacing w:before="0" w:after="0"/>
      </w:pPr>
    </w:p>
    <w:p>
      <w:pPr>
        <w:spacing w:before="200" w:after="60"/>
      </w:pPr>
      <w:r>
        <w:rPr>
          <w:rFonts w:ascii="Arial" w:cs="Arial" w:eastAsia="Arial" w:hAnsi="Arial"/>
          <w:b/>
          <w:bCs/>
          <w:color w:val="003087"/>
          <w:sz w:val="22"/>
          <w:szCs w:val="22"/>
        </w:rPr>
        <w:t xml:space="preserve">Q: What are the operational requirements for running IDR in production?</w:t>
      </w:r>
    </w:p>
    <w:p>
      <w:pPr>
        <w:spacing w:before="60" w:after="80"/>
      </w:pPr>
      <w:r>
        <w:rPr>
          <w:rFonts w:ascii="Arial" w:cs="Arial" w:eastAsia="Arial" w:hAnsi="Arial"/>
          <w:sz w:val="22"/>
          <w:szCs w:val="22"/>
        </w:rPr>
        <w:t xml:space="preserve">A: IDR requires GKE (Autopilot recommended), Cloud SQL PostgreSQL 15+, Cloud Memorystore (Redis), Cloud Pub/Sub, Google Secret Manager, Cloud Monitoring, and optionally HashiCorp Vault on GKE for PAN tokenization. Operationally, the manual review queue requires a dedicated JHBI operator team (or per-FI admin delegation) with a 5-business-day SLA. The nightly cross-FI global linking batch runs as a GKE CronJob. Audit logs must be retained for 7 years minimum (Cloud Storage or BigQuery, immutable bucket policy). Full observability setup (match-rate dashboards, Tier distribution, latency SLOs) is included in the implementation scope.</w:t>
      </w:r>
    </w:p>
    <w:p>
      <w:pPr>
        <w:pBdr>
          <w:bottom w:val="single" w:color="dadce0" w:sz="4" w:space="1"/>
        </w:pBdr>
        <w:spacing w:before="0" w:after="0"/>
      </w:pPr>
    </w:p>
    <w:p>
      <w:pPr>
        <w:pStyle w:val="Heading1"/>
        <w:spacing w:before="360" w:after="160"/>
      </w:pPr>
      <w:r>
        <w:rPr>
          <w:rFonts w:ascii="Arial" w:cs="Arial" w:eastAsia="Arial" w:hAnsi="Arial"/>
          <w:b/>
          <w:bCs/>
          <w:color w:val="003087"/>
          <w:sz w:val="28"/>
          <w:szCs w:val="28"/>
        </w:rPr>
        <w:t xml:space="preserve">12. Open Questions and Decisions Required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400"/>
        <w:gridCol w:w="4000"/>
      </w:tblGrid>
      <w:tr>
        <w:trPr>
          <w:tblHeader/>
        </w:trPr>
        <w:tc>
          <w:tcPr>
            <w:tcW w:type="dxa" w:w="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6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Question</w:t>
            </w:r>
          </w:p>
        </w:tc>
        <w:tc>
          <w:tcPr>
            <w:tcW w:type="dxa" w:w="14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40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1</w:t>
            </w:r>
          </w:p>
        </w:tc>
        <w:tc>
          <w:tcPr>
            <w:tcW w:type="dxa" w:w="3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Which FIs / product lines are in the initial pilot group?</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Product</w:t>
            </w:r>
          </w:p>
        </w:tc>
        <w:tc>
          <w:tcPr>
            <w:tcW w:type="dxa" w:w="4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Drives adapter prioritization.</w:t>
            </w:r>
          </w:p>
        </w:tc>
      </w:tr>
      <w:tr>
        <w:tc>
          <w:tcPr>
            <w:tcW w:type="dxa" w:w="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2</w:t>
            </w:r>
          </w:p>
        </w:tc>
        <w:tc>
          <w:tcPr>
            <w:tcW w:type="dxa" w:w="3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Is SSN available in plaintext from SilverLake CDC, or only hashed? What is the hashing process ownership?</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Eng / Security</w:t>
            </w:r>
          </w:p>
        </w:tc>
        <w:tc>
          <w:tcPr>
            <w:tcW w:type="dxa" w:w="4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Critical for platform-level SSN hash strategy.</w:t>
            </w:r>
          </w:p>
        </w:tc>
      </w:tr>
      <w:tr>
        <w:tc>
          <w:tcPr>
            <w:tcW w:type="dxa" w:w="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3</w:t>
            </w:r>
          </w:p>
        </w:tc>
        <w:tc>
          <w:tcPr>
            <w:tcW w:type="dxa" w:w="3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For Payrailz open-loop P2P: when the destination has only email/phone token, should we create an External Profile even if we expect they will never become a JH account holder?</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Product</w:t>
            </w:r>
          </w:p>
        </w:tc>
        <w:tc>
          <w:tcPr>
            <w:tcW w:type="dxa" w:w="4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Volume impact could be significant. Default: create stub only if Zelle token resolves within FI.</w:t>
            </w:r>
          </w:p>
        </w:tc>
      </w:tr>
      <w:tr>
        <w:tc>
          <w:tcPr>
            <w:tcW w:type="dxa" w:w="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4</w:t>
            </w:r>
          </w:p>
        </w:tc>
        <w:tc>
          <w:tcPr>
            <w:tcW w:type="dxa" w:w="3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Household formation: opt-in or opt-out per FI? Credit union member privacy concerns?</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Product / Legal</w:t>
            </w:r>
          </w:p>
        </w:tc>
        <w:tc>
          <w:tcPr>
            <w:tcW w:type="dxa" w:w="4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Affects household scope.</w:t>
            </w:r>
          </w:p>
        </w:tc>
      </w:tr>
      <w:tr>
        <w:tc>
          <w:tcPr>
            <w:tcW w:type="dxa" w:w="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5</w:t>
            </w:r>
          </w:p>
        </w:tc>
        <w:tc>
          <w:tcPr>
            <w:tcW w:type="dxa" w:w="3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Who owns the manual review queue operationally — JH central team or per-FI admins?</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Product / Ops</w:t>
            </w:r>
          </w:p>
        </w:tc>
        <w:tc>
          <w:tcPr>
            <w:tcW w:type="dxa" w:w="4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Drives UI and RBAC design.</w:t>
            </w:r>
          </w:p>
        </w:tc>
      </w:tr>
      <w:tr>
        <w:tc>
          <w:tcPr>
            <w:tcW w:type="dxa" w:w="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6</w:t>
            </w:r>
          </w:p>
        </w:tc>
        <w:tc>
          <w:tcPr>
            <w:tcW w:type="dxa" w:w="3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For cross-FI global linking: should the platform-level SSN hash use the same algorithm as the FI-level hash (just a different salt), or a completely separate hashing scheme?</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Security</w:t>
            </w:r>
          </w:p>
        </w:tc>
        <w:tc>
          <w:tcPr>
            <w:tcW w:type="dxa" w:w="4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Current approach: same SHA-256 algorithm, different salt.</w:t>
            </w:r>
          </w:p>
        </w:tc>
      </w:tr>
      <w:tr>
        <w:tc>
          <w:tcPr>
            <w:tcW w:type="dxa" w:w="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7</w:t>
            </w:r>
          </w:p>
        </w:tc>
        <w:tc>
          <w:tcPr>
            <w:tcW w:type="dxa" w:w="3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Latency SLO: near-real-time (&lt; 500ms end-to-end) or eventual consistency (minutes) acceptable?</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Product / Eng</w:t>
            </w:r>
          </w:p>
        </w:tc>
        <w:tc>
          <w:tcPr>
            <w:tcW w:type="dxa" w:w="4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Drives infrastructure sizing for Pub/Sub + Redis.</w:t>
            </w:r>
          </w:p>
        </w:tc>
      </w:tr>
      <w:tr>
        <w:tc>
          <w:tcPr>
            <w:tcW w:type="dxa" w:w="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8</w:t>
            </w:r>
          </w:p>
        </w:tc>
        <w:tc>
          <w:tcPr>
            <w:tcW w:type="dxa" w:w="3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Will the FI-facing Query API be consumed by FI-operated applications, internal JH products, or both?</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Product / Arch</w:t>
            </w:r>
          </w:p>
        </w:tc>
        <w:tc>
          <w:tcPr>
            <w:tcW w:type="dxa" w:w="4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Affects OAuth design.</w:t>
            </w:r>
          </w:p>
        </w:tc>
      </w:tr>
      <w:tr>
        <w:tc>
          <w:tcPr>
            <w:tcW w:type="dxa" w:w="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9</w:t>
            </w:r>
          </w:p>
        </w:tc>
        <w:tc>
          <w:tcPr>
            <w:tcW w:type="dxa" w:w="36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Tap2Local PAN tokens: can we obtain the card network token (not the raw PAN) from Tap2Local’s Moov integration?</w:t>
            </w:r>
          </w:p>
        </w:tc>
        <w:tc>
          <w:tcPr>
            <w:tcW w:type="dxa" w:w="14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Eng / Tap2Local</w:t>
            </w:r>
          </w:p>
        </w:tc>
        <w:tc>
          <w:tcPr>
            <w:tcW w:type="dxa" w:w="40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Required for any Tier &lt; 5 on card acceptance.</w:t>
            </w:r>
          </w:p>
        </w:tc>
      </w:tr>
      <w:tr>
        <w:tc>
          <w:tcPr>
            <w:tcW w:type="dxa" w:w="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10</w:t>
            </w:r>
          </w:p>
        </w:tc>
        <w:tc>
          <w:tcPr>
            <w:tcW w:type="dxa" w:w="36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For international wires via Corpay: does Corpay provide structured beneficiary identity data (name, address, country, IBAN), or only free-text?</w:t>
            </w:r>
          </w:p>
        </w:tc>
        <w:tc>
          <w:tcPr>
            <w:tcW w:type="dxa" w:w="14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Eng / Wires</w:t>
            </w:r>
          </w:p>
        </w:tc>
        <w:tc>
          <w:tcPr>
            <w:tcW w:type="dxa" w:w="40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Affects international wire resolution tier.</w:t>
            </w:r>
          </w:p>
        </w:tc>
      </w:tr>
    </w:tbl>
    <w:p>
      <w:pPr>
        <w:pStyle w:val="Heading1"/>
        <w:spacing w:before="360" w:after="160"/>
      </w:pPr>
      <w:r>
        <w:rPr>
          <w:rFonts w:ascii="Arial" w:cs="Arial" w:eastAsia="Arial" w:hAnsi="Arial"/>
          <w:b/>
          <w:bCs/>
          <w:color w:val="003087"/>
          <w:sz w:val="28"/>
          <w:szCs w:val="28"/>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Term</w:t>
            </w:r>
          </w:p>
        </w:tc>
        <w:tc>
          <w:tcPr>
            <w:tcW w:type="dxa" w:w="7160"/>
            <w:tcBorders>
              <w:top w:val="single" w:color="dadce0" w:sz="1"/>
              <w:left w:val="single" w:color="dadce0" w:sz="1"/>
              <w:bottom w:val="single" w:color="dadce0" w:sz="1"/>
              <w:right w:val="single" w:color="dadce0" w:sz="1"/>
            </w:tcBorders>
            <w:shd w:fill="003087"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BK-N</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Blocking Key N — a computed key used to group candidate records for comparison. See Section 5.1.</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Blocking</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The process of grouping identity records that are candidates for matching, based on shared blocking keys. Avoids O(N²) comparison.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Bucketing</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Assigning a confidence tier (1–5) to a match based on which blocking key produced it. Governs auto-merge vs. manual review decision.</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CDC</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Change Data Capture — mechanism for streaming database changes to downstream consumers.</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CIF</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Customer Information File — master customer record in a core banking system (SilverLake or Symitar).</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CPS</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Card Processing Solutions — JH card issuance product. Excluded from current scope.</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External Profile</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A lightweight Customer/Member record created for a payment counterparty who is not a JH FI account holder. Contains only signals available from payment data.</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FI</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Financial Institution — a Jack Henry client (bank or credit union).</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FPE</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Format-Preserving Encryption (FF3-1) — encrypts data while preserving its format and length. Used for card PANs only.</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IDR</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Identity Resolution — linking records across systems to a canonical entity.</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idr_customer_id</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Canonical FI-scoped UUID assigned to a resolved Customer/Member entity.</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idr_global_person_id</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Canonical JH-wide UUID linking FI-scoped entities that resolve to the same individual. Internal use only.</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MICR</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Magnetic Ink Character Recognition — the routing and account number line on a check.</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RfP</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Request for Payment — a message type on RTP and FedNow rails requesting a credit-push payment.</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RLS</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Row-Level Security — PostgreSQL feature that restricts which rows a database session can read or write, enforced per fi_id.</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SEC Code</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Standard Entry Class — 3-letter NACHA code on ACH transactions indicating payment type and party type (e.g., PPD=individual, CCD=business).</w:t>
            </w:r>
          </w:p>
        </w:tc>
      </w:tr>
      <w:tr>
        <w:tc>
          <w:tcPr>
            <w:tcW w:type="dxa" w:w="220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Silver Layer</w:t>
            </w:r>
          </w:p>
        </w:tc>
        <w:tc>
          <w:tcPr>
            <w:tcW w:type="dxa" w:w="7160"/>
            <w:tcBorders>
              <w:top w:val="single" w:color="dadce0" w:sz="1"/>
              <w:left w:val="single" w:color="dadce0" w:sz="1"/>
              <w:bottom w:val="single" w:color="dadce0" w:sz="1"/>
              <w:right w:val="single" w:color="dadce0" w:sz="1"/>
            </w:tcBorders>
            <w:shd w:fill="FFFFFF" w:val="clear"/>
            <w:tcMar>
              <w:top w:type="dxa" w:w="60"/>
              <w:left w:type="dxa" w:w="100"/>
              <w:bottom w:type="dxa" w:w="60"/>
              <w:right w:type="dxa" w:w="100"/>
            </w:tcMar>
          </w:tcPr>
          <w:p>
            <w:r>
              <w:rPr>
                <w:rFonts w:ascii="Arial" w:cs="Arial" w:eastAsia="Arial" w:hAnsi="Arial"/>
                <w:b w:val="false"/>
                <w:bCs w:val="false"/>
                <w:color w:val="202124"/>
                <w:sz w:val="19"/>
                <w:szCs w:val="19"/>
              </w:rPr>
              <w:t xml:space="preserve">The normalized payment schema in the JHBI data platform, where raw product data is unified into a common payment model with originator and destination parties.</w:t>
            </w:r>
          </w:p>
        </w:tc>
      </w:tr>
      <w:tr>
        <w:tc>
          <w:tcPr>
            <w:tcW w:type="dxa" w:w="220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Tokenization</w:t>
            </w:r>
          </w:p>
        </w:tc>
        <w:tc>
          <w:tcPr>
            <w:tcW w:type="dxa" w:w="7160"/>
            <w:tcBorders>
              <w:top w:val="single" w:color="dadce0" w:sz="1"/>
              <w:left w:val="single" w:color="dadce0" w:sz="1"/>
              <w:bottom w:val="single" w:color="dadce0" w:sz="1"/>
              <w:right w:val="single" w:color="dadce0" w:sz="1"/>
            </w:tcBorders>
            <w:shd w:fill="f8f9fa" w:val="clear"/>
            <w:tcMar>
              <w:top w:type="dxa" w:w="60"/>
              <w:left w:type="dxa" w:w="100"/>
              <w:bottom w:type="dxa" w:w="60"/>
              <w:right w:type="dxa" w:w="100"/>
            </w:tcMar>
          </w:tcPr>
          <w:p>
            <w:r>
              <w:rPr>
                <w:rFonts w:ascii="Arial" w:cs="Arial" w:eastAsia="Arial" w:hAnsi="Arial"/>
                <w:b w:val="false"/>
                <w:bCs w:val="false"/>
                <w:color w:val="202124"/>
                <w:sz w:val="19"/>
                <w:szCs w:val="19"/>
              </w:rPr>
              <w:t xml:space="preserve">Replacing a sensitive value with a non-sensitive surrogate that can be reversed only by the authorized Tokenization Service.</w:t>
            </w:r>
          </w:p>
        </w:tc>
      </w:tr>
    </w:tbl>
    <w:p>
      <w:pPr>
        <w:pStyle w:val="Heading1"/>
        <w:spacing w:before="360" w:after="160"/>
      </w:pPr>
      <w:r>
        <w:rPr>
          <w:rFonts w:ascii="Arial" w:cs="Arial" w:eastAsia="Arial" w:hAnsi="Arial"/>
          <w:b/>
          <w:bCs/>
          <w:color w:val="003087"/>
          <w:sz w:val="28"/>
          <w:szCs w:val="28"/>
        </w:rPr>
        <w:t xml:space="preserve">14. Schema Reference</w:t>
      </w:r>
    </w:p>
    <w:p>
      <w:pPr>
        <w:spacing w:before="80" w:after="100"/>
      </w:pPr>
      <w:r>
        <w:rPr>
          <w:rFonts w:ascii="Arial" w:cs="Arial" w:eastAsia="Arial" w:hAnsi="Arial"/>
          <w:sz w:val="22"/>
          <w:szCs w:val="22"/>
        </w:rPr>
        <w:t xml:space="preserve">The following PostgreSQL DDL schema files have been generated as working references for implementation. All files are located in /schemas/ relative to the project root.</w:t>
      </w:r>
    </w:p>
    <w:p>
      <w:pPr>
        <w:spacing w:before="80" w:after="100"/>
      </w:pPr>
      <w:r>
        <w:rPr>
          <w:rFonts w:ascii="Arial" w:cs="Arial" w:eastAsia="Arial" w:hAnsi="Arial"/>
          <w:b/>
          <w:bCs/>
          <w:sz w:val="22"/>
          <w:szCs w:val="22"/>
        </w:rPr>
        <w:t xml:space="preserve">ep01_entity_data_model.sql — </w:t>
      </w:r>
      <w:r>
        <w:rPr>
          <w:rFonts w:ascii="Arial" w:cs="Arial" w:eastAsia="Arial" w:hAnsi="Arial"/>
          <w:sz w:val="22"/>
          <w:szCs w:val="22"/>
        </w:rPr>
        <w:t xml:space="preserve">idr_account, idr_customer, idr_customer_account, idr_household, idr_household_member tables; ENUMs for entity_type, resolution_method, profile_completeness; RLS policies and temporal views.</w:t>
      </w:r>
    </w:p>
    <w:p>
      <w:pPr>
        <w:spacing w:before="80" w:after="100"/>
      </w:pPr>
      <w:r>
        <w:rPr>
          <w:rFonts w:ascii="Arial" w:cs="Arial" w:eastAsia="Arial" w:hAnsi="Arial"/>
          <w:b/>
          <w:bCs/>
          <w:sz w:val="22"/>
          <w:szCs w:val="22"/>
        </w:rPr>
        <w:t xml:space="preserve">ep02_pci_vault.sql — OPTIONAL / DEFERRED — </w:t>
      </w:r>
      <w:r>
        <w:rPr>
          <w:rFonts w:ascii="Arial" w:cs="Arial" w:eastAsia="Arial" w:hAnsi="Arial"/>
          <w:sz w:val="22"/>
          <w:szCs w:val="22"/>
        </w:rPr>
        <w:t xml:space="preserve">idr_pan_token_registry, idr_pan_tokenization_audit (partitioned), idr_pan_key_rotation_job, idr_pan_detokenize_allowlist. PAN (card) tokenization only — required only for Tap2Local / EPS gateway card-acceptance. SSN, account numbers, email, and phone are stored in plaintext.</w:t>
      </w:r>
    </w:p>
    <w:p>
      <w:pPr>
        <w:spacing w:before="80" w:after="100"/>
      </w:pPr>
      <w:r>
        <w:rPr>
          <w:rFonts w:ascii="Arial" w:cs="Arial" w:eastAsia="Arial" w:hAnsi="Arial"/>
          <w:b/>
          <w:bCs/>
          <w:sz w:val="22"/>
          <w:szCs w:val="22"/>
        </w:rPr>
        <w:t xml:space="preserve">ep03_04_resolution_engine.sql — </w:t>
      </w:r>
      <w:r>
        <w:rPr>
          <w:rFonts w:ascii="Arial" w:cs="Arial" w:eastAsia="Arial" w:hAnsi="Arial"/>
          <w:sz w:val="22"/>
          <w:szCs w:val="22"/>
        </w:rPr>
        <w:t xml:space="preserve">idr_blocking_key_def, idr_resolution_tier_def reference tables; idr_match_decision_log (partitioned, append-only); idr_review_queue; idr_event_idempotency; idr_shadow_decisions and idr_training_features (extension points for future probabilistic scoring).</w:t>
      </w:r>
    </w:p>
    <w:p>
      <w:pPr>
        <w:spacing w:before="80" w:after="100"/>
      </w:pPr>
      <w:r>
        <w:rPr>
          <w:rFonts w:ascii="Arial" w:cs="Arial" w:eastAsia="Arial" w:hAnsi="Arial"/>
          <w:b/>
          <w:bCs/>
          <w:sz w:val="22"/>
          <w:szCs w:val="22"/>
        </w:rPr>
        <w:t xml:space="preserve">ep08_global_link_table.sql — </w:t>
      </w:r>
      <w:r>
        <w:rPr>
          <w:rFonts w:ascii="Arial" w:cs="Arial" w:eastAsia="Arial" w:hAnsi="Arial"/>
          <w:sz w:val="22"/>
          <w:szCs w:val="22"/>
        </w:rPr>
        <w:t xml:space="preserve">idr_global_person, idr_global_links (BK-1/BK-2 only constraint; CHECK enforced at DDL level), idr_global_link_audit, idr_global_link_batch_run; idr_global_link_isolation_check invariant view (CI test target). BK1 qualifying_token = SHA-256(SSN + platform_salt) at runtime. BK2 qualifying_token = account_number + routing_number plaintext.</w:t>
      </w:r>
    </w:p>
    <w:p>
      <w:pPr>
        <w:spacing w:before="80" w:after="100"/>
      </w:pPr>
      <w:r>
        <w:rPr>
          <w:rFonts w:ascii="Arial" w:cs="Arial" w:eastAsia="Arial" w:hAnsi="Arial"/>
          <w:b/>
          <w:bCs/>
          <w:sz w:val="22"/>
          <w:szCs w:val="22"/>
        </w:rPr>
        <w:t xml:space="preserve">ep09_audit_observability.sql — </w:t>
      </w:r>
      <w:r>
        <w:rPr>
          <w:rFonts w:ascii="Arial" w:cs="Arial" w:eastAsia="Arial" w:hAnsi="Arial"/>
          <w:sz w:val="22"/>
          <w:szCs w:val="22"/>
        </w:rPr>
        <w:t xml:space="preserve">idr_entity_audit_log (7-year partitioned, append-only); idr_pipeline_metrics_snapshot; idr_slo_breach_log; idr_load_test_run; idr_fi_config.</w:t>
      </w:r>
    </w:p>
    <w:p>
      <w:pPr>
        <w:spacing w:before="80" w:after="100"/>
      </w:pPr>
      <w:r>
        <w:rPr>
          <w:rFonts w:ascii="Arial" w:cs="Arial" w:eastAsia="Arial" w:hAnsi="Arial"/>
          <w:b/>
          <w:bCs/>
          <w:sz w:val="22"/>
          <w:szCs w:val="22"/>
        </w:rPr>
        <w:t xml:space="preserve">identity_event_schema.json — </w:t>
      </w:r>
      <w:r>
        <w:rPr>
          <w:rFonts w:ascii="Arial" w:cs="Arial" w:eastAsia="Arial" w:hAnsi="Arial"/>
          <w:sz w:val="22"/>
          <w:szCs w:val="22"/>
        </w:rPr>
        <w:t xml:space="preserve">JSON Schema (draft 2020-12) for the IdentityEvent Kafka/Pub–Sub message produced by all product adapters. Includes all 8 blocking key fields, source_product enum, and 3 worked examples.</w:t>
      </w: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8"/>
              <w:left w:val="single" w:color="1a73e8" w:sz="8"/>
              <w:bottom w:val="none"/>
              <w:right w:val="single" w:color="1a73e8" w:sz="8"/>
            </w:tcBorders>
            <w:shd w:fill="1a73e8" w:val="clear"/>
            <w:tcMar>
              <w:top w:type="dxa" w:w="80"/>
              <w:left w:type="dxa" w:w="120"/>
              <w:bottom w:type="dxa" w:w="60"/>
              <w:right w:type="dxa" w:w="120"/>
            </w:tcMar>
          </w:tcPr>
          <w:p>
            <w:r>
              <w:rPr>
                <w:rFonts w:ascii="Arial" w:cs="Arial" w:eastAsia="Arial" w:hAnsi="Arial"/>
                <w:b/>
                <w:bCs/>
                <w:color w:val="FFFFFF"/>
                <w:sz w:val="22"/>
                <w:szCs w:val="22"/>
              </w:rPr>
              <w:t xml:space="preserve">See Also: Futures Document</w:t>
            </w:r>
          </w:p>
        </w:tc>
      </w:tr>
      <w:tr>
        <w:tc>
          <w:tcPr>
            <w:tcW w:type="dxa" w:w="9360"/>
            <w:tcBorders>
              <w:top w:val="none"/>
              <w:left w:val="single" w:color="1a73e8" w:sz="8"/>
              <w:bottom w:val="single" w:color="1a73e8" w:sz="8"/>
              <w:right w:val="single" w:color="1a73e8" w:sz="8"/>
            </w:tcBorders>
            <w:shd w:fill="ebf3fb" w:val="clear"/>
            <w:tcMar>
              <w:top w:type="dxa" w:w="80"/>
              <w:left w:type="dxa" w:w="120"/>
              <w:bottom w:type="dxa" w:w="80"/>
              <w:right w:type="dxa" w:w="120"/>
            </w:tcMar>
          </w:tcPr>
          <w:p>
            <w:r>
              <w:rPr>
                <w:rFonts w:ascii="Arial" w:cs="Arial" w:eastAsia="Arial" w:hAnsi="Arial"/>
                <w:sz w:val="22"/>
                <w:szCs w:val="22"/>
              </w:rPr>
              <w:t xml:space="preserve">JH_Identity_Resolution_Futures_v0.1.docx covers Phase 2 (additional product adapters), Phase 3 (probabilistic matching / ML scorer), and Phase 4 (graph enrichment and household probabilistic formation). Extension points in the current implementation are designed to accommodate these phases without architectural changes.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8"/>
        <w:szCs w:val="18"/>
      </w:rPr>
      <w:t xml:space="preserve">Jack Henry &amp; Associates  —  Page </w:t>
    </w:r>
    <w:r>
      <w:rPr>
        <w:rFonts w:ascii="Arial" w:cs="Arial" w:eastAsia="Arial" w:hAnsi="Arial"/>
        <w:color w:val="5f6368"/>
        <w:sz w:val="18"/>
        <w:szCs w:val="18"/>
      </w:rPr>
      <w:fldChar w:fldCharType="begin"/>
      <w:instrText xml:space="preserve">PAGE</w:instrText>
      <w:fldChar w:fldCharType="separate"/>
      <w:fldChar w:fldCharType="end"/>
    </w:r>
    <w:r>
      <w:rPr>
        <w:rFonts w:ascii="Arial" w:cs="Arial" w:eastAsia="Arial" w:hAnsi="Arial"/>
        <w:color w:val="5f6368"/>
        <w:sz w:val="18"/>
        <w:szCs w:val="18"/>
      </w:rPr>
      <w:t xml:space="preserve"> of </w:t>
    </w:r>
    <w:r>
      <w:rPr>
        <w:rFonts w:ascii="Arial" w:cs="Arial" w:eastAsia="Arial" w:hAnsi="Arial"/>
        <w:color w:val="5f63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4" w:space="4"/>
      </w:pBdr>
      <w:jc w:val="right"/>
    </w:pPr>
    <w:r>
      <w:rPr>
        <w:rFonts w:ascii="Arial" w:cs="Arial" w:eastAsia="Arial" w:hAnsi="Arial"/>
        <w:color w:val="5f6368"/>
        <w:sz w:val="18"/>
        <w:szCs w:val="18"/>
      </w:rPr>
      <w:t xml:space="preserve">JH Identity Resolution  |  Technical Design  |  v0.4 DRAFT  |  </w:t>
    </w:r>
    <w:r>
      <w:rPr>
        <w:rFonts w:ascii="Arial" w:cs="Arial" w:eastAsia="Arial" w:hAnsi="Arial"/>
        <w:b/>
        <w:bCs/>
        <w:color w:val="c5221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3087" w:sz="4" w:space="4"/>
      </w:pBdr>
      <w:spacing w:before="360" w:after="160"/>
      <w:outlineLvl w:val="0"/>
    </w:pPr>
    <w:rPr>
      <w:rFonts w:ascii="Arial" w:cs="Arial" w:eastAsia="Arial" w:hAnsi="Arial"/>
      <w:b/>
      <w:bCs/>
      <w:color w:val="00308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73e8"/>
      <w:sz w:val="24"/>
      <w:szCs w:val="24"/>
    </w:rPr>
  </w:style>
  <w:style w:type="paragraph" w:styleId="Heading3">
    <w:name w:val="Heading 3"/>
    <w:basedOn w:val="Normal"/>
    <w:next w:val="Normal"/>
    <w:qFormat/>
    <w:pPr>
      <w:spacing w:before="180" w:after="80"/>
      <w:outlineLvl w:val="2"/>
    </w:pPr>
    <w:rPr>
      <w:rFonts w:ascii="Arial" w:cs="Arial" w:eastAsia="Arial" w:hAnsi="Arial"/>
      <w:b/>
      <w:bCs/>
      <w:color w:val="007b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2026-02-24T16:31:37.742Z</dcterms:created>
  <dcterms:modified xsi:type="dcterms:W3CDTF">2026-02-24T16:31:37.742Z</dcterms:modified>
</cp:coreProperties>
</file>

<file path=docProps/custom.xml><?xml version="1.0" encoding="utf-8"?>
<Properties xmlns="http://schemas.openxmlformats.org/officeDocument/2006/custom-properties" xmlns:vt="http://schemas.openxmlformats.org/officeDocument/2006/docPropsVTypes"/>
</file>