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80"/>
        <w:jc w:val="center"/>
      </w:pPr>
      <w:r>
        <w:rPr>
          <w:rFonts w:ascii="Arial" w:cs="Arial" w:eastAsia="Arial" w:hAnsi="Arial"/>
          <w:b/>
          <w:bCs/>
          <w:color w:val="003087"/>
          <w:sz w:val="44"/>
          <w:szCs w:val="44"/>
        </w:rPr>
        <w:t xml:space="preserve">Jack Henry &amp; Associates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Identity Resolution for Payment Products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e37400"/>
          <w:sz w:val="26"/>
          <w:szCs w:val="26"/>
        </w:rPr>
        <w:t xml:space="preserve">Future Phases Roadmap: Phases 2, 3, and 4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Companion to: JH_Identity_Resolution_Design_v0.4  |  v0.1 DRAFT</w:t>
      </w:r>
    </w:p>
    <w:p>
      <w:pPr>
        <w:spacing w:before="0" w:after="1440"/>
        <w:jc w:val="center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February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8"/>
              <w:left w:val="single" w:color="1a73e8" w:sz="8"/>
              <w:bottom w:val="none"/>
              <w:right w:val="single" w:color="1a73e8" w:sz="8"/>
            </w:tcBorders>
            <w:shd w:fill="1a73e8" w:val="clear"/>
            <w:tcMar>
              <w:top w:type="dxa" w:w="8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 of This Document</w:t>
            </w:r>
          </w:p>
        </w:tc>
      </w:tr>
      <w:tr>
        <w:tc>
          <w:tcPr>
            <w:tcW w:type="dxa" w:w="9360"/>
            <w:tcBorders>
              <w:top w:val="none"/>
              <w:left w:val="single" w:color="1a73e8" w:sz="8"/>
              <w:bottom w:val="single" w:color="1a73e8" w:sz="8"/>
              <w:right w:val="single" w:color="1a73e8" w:sz="8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This document captures the future-phase roadmap for the JH Identity Resolution system. None of the capabilities described here are in scope for the current release (v0.4, Deterministic Core).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This document exists to: (1) preserve the design context and rationale for future phases, (2) ensure current extension points are intentionally designed to accommodate them, and (3) allow future teams to pick up where Phase 1 leaves off without re-litigating architectural decisions.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Phase 2 — Additional Product Adapters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Phase 2 adds the remaining in-scope product adapters. No resolution engine changes are required — each adapter produces the same canonical IdentityEvent schema and publishes to the same Pub/Sub topic. The resolution engine, Identity Store, and Query API are unchanged.</w:t>
      </w:r>
    </w:p>
    <w:p>
      <w:pPr>
        <w:spacing w:before="80" w:after="8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500"/>
        <w:gridCol w:w="1000"/>
      </w:tblGrid>
      <w:tr>
        <w:trPr>
          <w:tblHeader/>
        </w:trPr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Epic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 / Adapter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Blocking Keys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EP-10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JHA PayCenter (RTP, FedNow, Zelle)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BK-2, BK-3, BK-4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EP-11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Payrailz Platform (P2P, A2A, Bill Pay)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BK-2, BK-3, BK-4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EP-12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Jack Henry Wires (domestic and international)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BK-2, BK-7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EP-13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iPay Solutions (bill pay, CardPay, P2P)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BK-2, BK-3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EP-14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Banno Digital Platform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BK-2, BK-3, BK-4, BK-5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EP-15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Business Payment Solutions (B2V, payroll, remittance)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BK-1 (EIN), BK-2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EP-16</w:t>
            </w:r>
          </w:p>
        </w:tc>
        <w:tc>
          <w:tcPr>
            <w:tcW w:type="dxa" w:w="3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EPS Check / RDC + Tap2Local / EPS Gateway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BK-2 (MICR), BK-6 (payee name), BK-8 (PAN Tier-5 stubs)</w:t>
            </w:r>
          </w:p>
        </w:tc>
        <w:tc>
          <w:tcPr>
            <w:tcW w:type="dxa" w:w="1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P1</w:t>
            </w:r>
          </w:p>
        </w:tc>
      </w:tr>
    </w:tbl>
    <w:p>
      <w:pPr>
        <w:spacing w:before="80" w:after="8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Estimated effort: 8–10 weeks.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2.1 Design Notes for Phase 2 Adapters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ACH (EPS / Profitstars) was included as EP-06 in Phase 1. Phase 2 covers all remaining adapters.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EP-16 (Tap2Local / EPS gateway) requires the PCI Vault component (ep02_pci_vault.sql) which is deferred until this phase. BK-8 (PAN token) produces Tier-5 EXTERNAL_STUB profiles until CPS card issuance data becomes available.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International wire beneficiaries (EP-12) resolve at Tier 4–5 using BK-7 (SWIFT BIC + IBAN). Phase 3 probabilistic scoring is expected to improve this to Tier 3 using name+country+BIC combinations.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Payrailz open-loop P2P (EP-11): when the destination has only email/phone token and no enrolled account, creation of an External Profile stub is conditional on the Zelle token resolving within the FI. See Open Question #3 in the main design document.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Phase 3 — Probabilistic Matching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Phase 3 adds a trained probabilistic scorer for Tier-4 cases (BK-6 Name+Zip combinations). The deterministic Tiers 1–3 are never replaced — the probabilistic scorer is a pluggable extension to the bucket evaluation step (Step 5 of the pipeline).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3.1 Training Data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match_decision_log table (ep03_04_resolution_engine.sql) accumulates full feature vectors, blocking keys evaluated, bucket assigned, and human review decisions from Phases 1 and 2. This constitutes the labeled training corpus. BK-6 (Name+Zip) Tier-4 decisions are specifically flagged as priority training examples via the idr_training_features table.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3.2 Pluggable Scorer Interface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Resolution Engine is implemented with a pluggable scorer interface at the bucket evaluation step. In Phase 1, the interface is fulfilled by the deterministic rule engine. In Phase 3, a trained model (e.g., XGBoost or a lightweight neural classifier) is deployed as a separate GKE service and called via the scorer interface. Tiers 1–3 remain deterministic; the model supplements Tier-4 decisions only.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3.3 Shadow Mode Deployment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Before the probabilistic scorer is activated in production, it will run in shadow mode: the deterministic outcome is applied, and the model’s predicted outcome is logged to idr_shadow_decisions for comparison. Shadow mode allows precision/recall measurement without production impact.</w:t>
      </w:r>
    </w:p>
    <w:p>
      <w:pPr>
        <w:spacing w:before="80" w:after="8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Estimated effort: 10–12 weeks.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Phase 4 — Graph Enrichment and Household Probabilistic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Phase 4 extends the household formation capability and considers graph-native storage for traversal-heavy analytics. It is deliberately left as TBD pending Phase 3 learnings.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4.1 Probabilistic Household Formation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current household formation uses exact USPS-normalized address matching for SHARED_ADDRESS. Phase 4 will add a probabilistic address matcher (to handle minor normalization differences, apartment number variations, etc.) using the address_canonical field and a trained similarity model from Phase 3.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4.2 Graph Layer Consideration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As the entity graph grows (accounts → customers → households → global persons), multi-hop traversal queries (e.g., “find all payment relationships between entities in the same household across all products”) may become expensive in relational tables. Phase 4 will evaluate migrating entity relationships to a graph store (Apache Age on PostgreSQL or a dedicated graph database such as Neo4j or Amazon Neptune) if traversal complexity warrants it.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4.3 CPS Data Integration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If Jack Henry’s Card Processing Solutions (CPS) card issuance data becomes available via a CDC feed, Phase 4 will add a CPS adapter and upgrade Tap2Local / EPS gateway card-acceptance records (currently Tier-5 EXTERNAL_STUBs) to fully resolved entities via PAN token linkage. This requires coordination with the CPS product team and updated PCI scope assessment.</w:t>
      </w:r>
    </w:p>
    <w:p>
      <w:pPr>
        <w:spacing w:before="80" w:after="80"/>
      </w:pP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Estimated effort: TBD based on Phase 3 learnings.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03087"/>
          <w:sz w:val="28"/>
          <w:szCs w:val="28"/>
        </w:rPr>
        <w:t xml:space="preserve">Appendix: Extension Points Preserved in Phase 1 Design</w:t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Phase 1 implementation intentionally preserves the following extension points to avoid re-architecting for Phases 2–4: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Extension Point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4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00308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Pluggable scorer interface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Resolution Engine — Step 5 (Bucket Assignment)</w:t>
            </w:r>
          </w:p>
        </w:tc>
        <w:tc>
          <w:tcPr>
            <w:tcW w:type="dxa" w:w="4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Swap deterministic rule engine for a trained probabilistic model in Phase 3 without changing surrounding pipeline.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idr_shadow_decisions table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ep03_04_resolution_engine.sql</w:t>
            </w:r>
          </w:p>
        </w:tc>
        <w:tc>
          <w:tcPr>
            <w:tcW w:type="dxa" w:w="4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Capture model predictions in shadow mode before Phase 3 go-live.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idr_training_features table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ep03_04_resolution_engine.sql</w:t>
            </w:r>
          </w:p>
        </w:tc>
        <w:tc>
          <w:tcPr>
            <w:tcW w:type="dxa" w:w="4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Store feature vectors for labeled training examples, especially BK-6 Tier-4 decisions.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match_decision_log — full feature vector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ep03_04_resolution_engine.sql</w:t>
            </w:r>
          </w:p>
        </w:tc>
        <w:tc>
          <w:tcPr>
            <w:tcW w:type="dxa" w:w="4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Training corpus for Phase 3 probabilistic scorer. Every match decision is logged with all features.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BK-6 (Name+Zip) secondary flag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Blocking Key framework</w:t>
            </w:r>
          </w:p>
        </w:tc>
        <w:tc>
          <w:tcPr>
            <w:tcW w:type="dxa" w:w="4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Tier-4 BK-6 decisions are flagged as priority Phase 3 training examples.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International wire probabilistic improvement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BK-7 (SWIFT + IBAN)</w:t>
            </w:r>
          </w:p>
        </w:tc>
        <w:tc>
          <w:tcPr>
            <w:tcW w:type="dxa" w:w="4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Name+country+BIC combinations are a Phase 3 candidate for improving Tier 4–5 international wire resolution.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CPS adapter placeholder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Product Adapter registry</w:t>
            </w:r>
          </w:p>
        </w:tc>
        <w:tc>
          <w:tcPr>
            <w:tcW w:type="dxa" w:w="4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CPS is explicitly excluded today; the adapter registry and ep01 schema support adding it without DDL changes.</w:t>
            </w:r>
          </w:p>
        </w:tc>
      </w:tr>
      <w:tr>
        <w:tc>
          <w:tcPr>
            <w:tcW w:type="dxa" w:w="20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Graph traversal migration</w:t>
            </w:r>
          </w:p>
        </w:tc>
        <w:tc>
          <w:tcPr>
            <w:tcW w:type="dxa" w:w="250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Entity adjacency tables</w:t>
            </w:r>
          </w:p>
        </w:tc>
        <w:tc>
          <w:tcPr>
            <w:tcW w:type="dxa" w:w="4860"/>
            <w:tcBorders>
              <w:top w:val="single" w:color="dadce0" w:sz="1"/>
              <w:left w:val="single" w:color="dadce0" w:sz="1"/>
              <w:bottom w:val="single" w:color="dadce0" w:sz="1"/>
              <w:right w:val="single" w:color="dadce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Current adjacency-list tables (idr_customer_account, idr_household_member) are designed to be mirrored to a graph store in Phase 4 if warranted.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368"/>
        <w:sz w:val="18"/>
        <w:szCs w:val="18"/>
      </w:rPr>
      <w:t xml:space="preserve">Jack Henry &amp; Associates  —  Page </w:t>
    </w:r>
    <w:r>
      <w:rPr>
        <w:rFonts w:ascii="Arial" w:cs="Arial" w:eastAsia="Arial" w:hAnsi="Arial"/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7400" w:sz="4" w:space="4"/>
      </w:pBdr>
      <w:jc w:val="right"/>
    </w:pPr>
    <w:r>
      <w:rPr>
        <w:rFonts w:ascii="Arial" w:cs="Arial" w:eastAsia="Arial" w:hAnsi="Arial"/>
        <w:color w:val="5f6368"/>
        <w:sz w:val="18"/>
        <w:szCs w:val="18"/>
      </w:rPr>
      <w:t xml:space="preserve">JH Identity Resolution  |  Futures Roadmap  |  v0.1 DRAFT  |  </w:t>
    </w:r>
    <w:r>
      <w:rPr>
        <w:rFonts w:ascii="Arial" w:cs="Arial" w:eastAsia="Arial" w:hAnsi="Arial"/>
        <w:b/>
        <w:bCs/>
        <w:color w:val="e37400"/>
        <w:sz w:val="18"/>
        <w:szCs w:val="18"/>
      </w:rPr>
      <w:t xml:space="preserve">INTERNAL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3087" w:sz="4" w:space="4"/>
      </w:pBdr>
      <w:spacing w:before="360" w:after="160"/>
      <w:outlineLvl w:val="0"/>
    </w:pPr>
    <w:rPr>
      <w:rFonts w:ascii="Arial" w:cs="Arial" w:eastAsia="Arial" w:hAnsi="Arial"/>
      <w:b/>
      <w:bCs/>
      <w:color w:val="00308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73e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2026-02-24T16:31:37.858Z</dcterms:created>
  <dcterms:modified xsi:type="dcterms:W3CDTF">2026-02-24T16:31:37.858Z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