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1A2BB" w14:textId="77777777" w:rsidR="00F2029F" w:rsidRDefault="00F2029F">
      <w:pPr>
        <w:spacing w:before="1440"/>
      </w:pPr>
    </w:p>
    <w:p w14:paraId="2B7CA339" w14:textId="77777777" w:rsidR="00F2029F" w:rsidRDefault="00000000">
      <w:pPr>
        <w:jc w:val="center"/>
      </w:pPr>
      <w:r>
        <w:rPr>
          <w:b/>
          <w:bCs/>
          <w:color w:val="1B3A6E"/>
          <w:spacing w:val="120"/>
          <w:sz w:val="28"/>
          <w:szCs w:val="28"/>
        </w:rPr>
        <w:t>JACK HENRY &amp; ASSOCIATES</w:t>
      </w:r>
    </w:p>
    <w:p w14:paraId="678E7987" w14:textId="77777777" w:rsidR="00F2029F" w:rsidRDefault="00000000">
      <w:pPr>
        <w:spacing w:before="240" w:after="480"/>
        <w:jc w:val="center"/>
      </w:pPr>
      <w:r>
        <w:rPr>
          <w:b/>
          <w:bCs/>
          <w:color w:val="1B3A6E"/>
          <w:sz w:val="64"/>
          <w:szCs w:val="64"/>
        </w:rPr>
        <w:t>Payment Intelligence at Scale</w:t>
      </w:r>
    </w:p>
    <w:p w14:paraId="5FD9163E" w14:textId="77777777" w:rsidR="00F2029F" w:rsidRDefault="00000000">
      <w:pPr>
        <w:spacing w:after="240"/>
        <w:jc w:val="center"/>
      </w:pPr>
      <w:r>
        <w:rPr>
          <w:color w:val="C8972A"/>
          <w:sz w:val="32"/>
          <w:szCs w:val="32"/>
        </w:rPr>
        <w:t>A Foundation Model Architecture for Collective Intelligence Across Financial Institutions</w:t>
      </w:r>
    </w:p>
    <w:p w14:paraId="26373F70" w14:textId="77777777" w:rsidR="00F2029F" w:rsidRDefault="00000000">
      <w:pPr>
        <w:spacing w:before="480"/>
        <w:jc w:val="center"/>
      </w:pPr>
      <w:r>
        <w:rPr>
          <w:b/>
          <w:bCs/>
          <w:color w:val="444444"/>
          <w:sz w:val="24"/>
          <w:szCs w:val="24"/>
        </w:rPr>
        <w:t>Technical Whitepaper</w:t>
      </w:r>
    </w:p>
    <w:p w14:paraId="30896948" w14:textId="77777777" w:rsidR="00F2029F" w:rsidRDefault="00000000">
      <w:pPr>
        <w:spacing w:before="120"/>
        <w:jc w:val="center"/>
      </w:pPr>
      <w:proofErr w:type="gramStart"/>
      <w:r>
        <w:rPr>
          <w:color w:val="444444"/>
        </w:rPr>
        <w:t>Confidential  |</w:t>
      </w:r>
      <w:proofErr w:type="gramEnd"/>
      <w:r>
        <w:rPr>
          <w:color w:val="444444"/>
        </w:rPr>
        <w:t xml:space="preserve">  2025</w:t>
      </w:r>
    </w:p>
    <w:p w14:paraId="2298AE79" w14:textId="77777777" w:rsidR="00F2029F" w:rsidRDefault="00000000">
      <w:r>
        <w:br w:type="page"/>
      </w:r>
    </w:p>
    <w:sdt>
      <w:sdtPr>
        <w:alias w:val="Table of Contents"/>
        <w:id w:val="1372197505"/>
      </w:sdtPr>
      <w:sdtContent>
        <w:p w14:paraId="566A1E17" w14:textId="77777777" w:rsidR="006474AA" w:rsidRDefault="00000000">
          <w:pPr>
            <w:pStyle w:val="TOC1"/>
            <w:tabs>
              <w:tab w:val="right" w:leader="dot" w:pos="9350"/>
            </w:tabs>
            <w:rPr>
              <w:noProof/>
            </w:rPr>
          </w:pPr>
          <w:r>
            <w:fldChar w:fldCharType="begin"/>
          </w:r>
          <w:r>
            <w:instrText>TOC \h \o "1-3"</w:instrText>
          </w:r>
          <w:r>
            <w:fldChar w:fldCharType="separate"/>
          </w:r>
          <w:hyperlink w:anchor="_Toc223543500" w:history="1">
            <w:r w:rsidR="006474AA" w:rsidRPr="00374029">
              <w:rPr>
                <w:rStyle w:val="Hyperlink"/>
                <w:noProof/>
              </w:rPr>
              <w:t>1. Executive Summary</w:t>
            </w:r>
            <w:r w:rsidR="006474AA">
              <w:rPr>
                <w:noProof/>
              </w:rPr>
              <w:tab/>
            </w:r>
            <w:r w:rsidR="006474AA">
              <w:rPr>
                <w:noProof/>
              </w:rPr>
              <w:fldChar w:fldCharType="begin"/>
            </w:r>
            <w:r w:rsidR="006474AA">
              <w:rPr>
                <w:noProof/>
              </w:rPr>
              <w:instrText xml:space="preserve"> PAGEREF _Toc223543500 \h </w:instrText>
            </w:r>
            <w:r w:rsidR="006474AA">
              <w:rPr>
                <w:noProof/>
              </w:rPr>
            </w:r>
            <w:r w:rsidR="006474AA">
              <w:rPr>
                <w:noProof/>
              </w:rPr>
              <w:fldChar w:fldCharType="separate"/>
            </w:r>
            <w:r w:rsidR="006474AA">
              <w:rPr>
                <w:noProof/>
              </w:rPr>
              <w:t>3</w:t>
            </w:r>
            <w:r w:rsidR="006474AA">
              <w:rPr>
                <w:noProof/>
              </w:rPr>
              <w:fldChar w:fldCharType="end"/>
            </w:r>
          </w:hyperlink>
        </w:p>
        <w:p w14:paraId="401132CB" w14:textId="77777777" w:rsidR="006474AA" w:rsidRDefault="006474AA">
          <w:pPr>
            <w:pStyle w:val="TOC1"/>
            <w:tabs>
              <w:tab w:val="right" w:leader="dot" w:pos="9350"/>
            </w:tabs>
            <w:rPr>
              <w:noProof/>
            </w:rPr>
          </w:pPr>
          <w:hyperlink w:anchor="_Toc223543501" w:history="1">
            <w:r w:rsidRPr="00374029">
              <w:rPr>
                <w:rStyle w:val="Hyperlink"/>
                <w:noProof/>
              </w:rPr>
              <w:t>2. Problem Statement</w:t>
            </w:r>
            <w:r>
              <w:rPr>
                <w:noProof/>
              </w:rPr>
              <w:tab/>
            </w:r>
            <w:r>
              <w:rPr>
                <w:noProof/>
              </w:rPr>
              <w:fldChar w:fldCharType="begin"/>
            </w:r>
            <w:r>
              <w:rPr>
                <w:noProof/>
              </w:rPr>
              <w:instrText xml:space="preserve"> PAGEREF _Toc223543501 \h </w:instrText>
            </w:r>
            <w:r>
              <w:rPr>
                <w:noProof/>
              </w:rPr>
            </w:r>
            <w:r>
              <w:rPr>
                <w:noProof/>
              </w:rPr>
              <w:fldChar w:fldCharType="separate"/>
            </w:r>
            <w:r>
              <w:rPr>
                <w:noProof/>
              </w:rPr>
              <w:t>4</w:t>
            </w:r>
            <w:r>
              <w:rPr>
                <w:noProof/>
              </w:rPr>
              <w:fldChar w:fldCharType="end"/>
            </w:r>
          </w:hyperlink>
        </w:p>
        <w:p w14:paraId="6ED678CC" w14:textId="77777777" w:rsidR="006474AA" w:rsidRDefault="006474AA">
          <w:pPr>
            <w:pStyle w:val="TOC2"/>
            <w:tabs>
              <w:tab w:val="right" w:leader="dot" w:pos="9350"/>
            </w:tabs>
            <w:rPr>
              <w:noProof/>
            </w:rPr>
          </w:pPr>
          <w:hyperlink w:anchor="_Toc223543502" w:history="1">
            <w:r w:rsidRPr="00374029">
              <w:rPr>
                <w:rStyle w:val="Hyperlink"/>
                <w:noProof/>
              </w:rPr>
              <w:t>2.1 The Intelligence Fragmentation Problem</w:t>
            </w:r>
            <w:r>
              <w:rPr>
                <w:noProof/>
              </w:rPr>
              <w:tab/>
            </w:r>
            <w:r>
              <w:rPr>
                <w:noProof/>
              </w:rPr>
              <w:fldChar w:fldCharType="begin"/>
            </w:r>
            <w:r>
              <w:rPr>
                <w:noProof/>
              </w:rPr>
              <w:instrText xml:space="preserve"> PAGEREF _Toc223543502 \h </w:instrText>
            </w:r>
            <w:r>
              <w:rPr>
                <w:noProof/>
              </w:rPr>
            </w:r>
            <w:r>
              <w:rPr>
                <w:noProof/>
              </w:rPr>
              <w:fldChar w:fldCharType="separate"/>
            </w:r>
            <w:r>
              <w:rPr>
                <w:noProof/>
              </w:rPr>
              <w:t>4</w:t>
            </w:r>
            <w:r>
              <w:rPr>
                <w:noProof/>
              </w:rPr>
              <w:fldChar w:fldCharType="end"/>
            </w:r>
          </w:hyperlink>
        </w:p>
        <w:p w14:paraId="34E52F42" w14:textId="77777777" w:rsidR="006474AA" w:rsidRDefault="006474AA">
          <w:pPr>
            <w:pStyle w:val="TOC2"/>
            <w:tabs>
              <w:tab w:val="right" w:leader="dot" w:pos="9350"/>
            </w:tabs>
            <w:rPr>
              <w:noProof/>
            </w:rPr>
          </w:pPr>
          <w:hyperlink w:anchor="_Toc223543503" w:history="1">
            <w:r w:rsidRPr="00374029">
              <w:rPr>
                <w:rStyle w:val="Hyperlink"/>
                <w:noProof/>
              </w:rPr>
              <w:t>2.2 Specific Failure Modes</w:t>
            </w:r>
            <w:r>
              <w:rPr>
                <w:noProof/>
              </w:rPr>
              <w:tab/>
            </w:r>
            <w:r>
              <w:rPr>
                <w:noProof/>
              </w:rPr>
              <w:fldChar w:fldCharType="begin"/>
            </w:r>
            <w:r>
              <w:rPr>
                <w:noProof/>
              </w:rPr>
              <w:instrText xml:space="preserve"> PAGEREF _Toc223543503 \h </w:instrText>
            </w:r>
            <w:r>
              <w:rPr>
                <w:noProof/>
              </w:rPr>
            </w:r>
            <w:r>
              <w:rPr>
                <w:noProof/>
              </w:rPr>
              <w:fldChar w:fldCharType="separate"/>
            </w:r>
            <w:r>
              <w:rPr>
                <w:noProof/>
              </w:rPr>
              <w:t>4</w:t>
            </w:r>
            <w:r>
              <w:rPr>
                <w:noProof/>
              </w:rPr>
              <w:fldChar w:fldCharType="end"/>
            </w:r>
          </w:hyperlink>
        </w:p>
        <w:p w14:paraId="5752C846" w14:textId="77777777" w:rsidR="006474AA" w:rsidRDefault="006474AA">
          <w:pPr>
            <w:pStyle w:val="TOC1"/>
            <w:tabs>
              <w:tab w:val="right" w:leader="dot" w:pos="9350"/>
            </w:tabs>
            <w:rPr>
              <w:noProof/>
            </w:rPr>
          </w:pPr>
          <w:hyperlink w:anchor="_Toc223543504" w:history="1">
            <w:r w:rsidRPr="00374029">
              <w:rPr>
                <w:rStyle w:val="Hyperlink"/>
                <w:noProof/>
              </w:rPr>
              <w:t>3. Solution Architecture</w:t>
            </w:r>
            <w:r>
              <w:rPr>
                <w:noProof/>
              </w:rPr>
              <w:tab/>
            </w:r>
            <w:r>
              <w:rPr>
                <w:noProof/>
              </w:rPr>
              <w:fldChar w:fldCharType="begin"/>
            </w:r>
            <w:r>
              <w:rPr>
                <w:noProof/>
              </w:rPr>
              <w:instrText xml:space="preserve"> PAGEREF _Toc223543504 \h </w:instrText>
            </w:r>
            <w:r>
              <w:rPr>
                <w:noProof/>
              </w:rPr>
            </w:r>
            <w:r>
              <w:rPr>
                <w:noProof/>
              </w:rPr>
              <w:fldChar w:fldCharType="separate"/>
            </w:r>
            <w:r>
              <w:rPr>
                <w:noProof/>
              </w:rPr>
              <w:t>5</w:t>
            </w:r>
            <w:r>
              <w:rPr>
                <w:noProof/>
              </w:rPr>
              <w:fldChar w:fldCharType="end"/>
            </w:r>
          </w:hyperlink>
        </w:p>
        <w:p w14:paraId="1DDA0258" w14:textId="77777777" w:rsidR="006474AA" w:rsidRDefault="006474AA">
          <w:pPr>
            <w:pStyle w:val="TOC2"/>
            <w:tabs>
              <w:tab w:val="right" w:leader="dot" w:pos="9350"/>
            </w:tabs>
            <w:rPr>
              <w:noProof/>
            </w:rPr>
          </w:pPr>
          <w:hyperlink w:anchor="_Toc223543505" w:history="1">
            <w:r w:rsidRPr="00374029">
              <w:rPr>
                <w:rStyle w:val="Hyperlink"/>
                <w:noProof/>
              </w:rPr>
              <w:t>3.1 The Medallion Data Lake</w:t>
            </w:r>
            <w:r>
              <w:rPr>
                <w:noProof/>
              </w:rPr>
              <w:tab/>
            </w:r>
            <w:r>
              <w:rPr>
                <w:noProof/>
              </w:rPr>
              <w:fldChar w:fldCharType="begin"/>
            </w:r>
            <w:r>
              <w:rPr>
                <w:noProof/>
              </w:rPr>
              <w:instrText xml:space="preserve"> PAGEREF _Toc223543505 \h </w:instrText>
            </w:r>
            <w:r>
              <w:rPr>
                <w:noProof/>
              </w:rPr>
            </w:r>
            <w:r>
              <w:rPr>
                <w:noProof/>
              </w:rPr>
              <w:fldChar w:fldCharType="separate"/>
            </w:r>
            <w:r>
              <w:rPr>
                <w:noProof/>
              </w:rPr>
              <w:t>5</w:t>
            </w:r>
            <w:r>
              <w:rPr>
                <w:noProof/>
              </w:rPr>
              <w:fldChar w:fldCharType="end"/>
            </w:r>
          </w:hyperlink>
        </w:p>
        <w:p w14:paraId="4F98A66F" w14:textId="77777777" w:rsidR="006474AA" w:rsidRDefault="006474AA">
          <w:pPr>
            <w:pStyle w:val="TOC3"/>
            <w:tabs>
              <w:tab w:val="right" w:leader="dot" w:pos="9350"/>
            </w:tabs>
            <w:rPr>
              <w:noProof/>
            </w:rPr>
          </w:pPr>
          <w:hyperlink w:anchor="_Toc223543506" w:history="1">
            <w:r w:rsidRPr="00374029">
              <w:rPr>
                <w:rStyle w:val="Hyperlink"/>
                <w:noProof/>
              </w:rPr>
              <w:t>Bronze: Raw Ingest</w:t>
            </w:r>
            <w:r>
              <w:rPr>
                <w:noProof/>
              </w:rPr>
              <w:tab/>
            </w:r>
            <w:r>
              <w:rPr>
                <w:noProof/>
              </w:rPr>
              <w:fldChar w:fldCharType="begin"/>
            </w:r>
            <w:r>
              <w:rPr>
                <w:noProof/>
              </w:rPr>
              <w:instrText xml:space="preserve"> PAGEREF _Toc223543506 \h </w:instrText>
            </w:r>
            <w:r>
              <w:rPr>
                <w:noProof/>
              </w:rPr>
            </w:r>
            <w:r>
              <w:rPr>
                <w:noProof/>
              </w:rPr>
              <w:fldChar w:fldCharType="separate"/>
            </w:r>
            <w:r>
              <w:rPr>
                <w:noProof/>
              </w:rPr>
              <w:t>5</w:t>
            </w:r>
            <w:r>
              <w:rPr>
                <w:noProof/>
              </w:rPr>
              <w:fldChar w:fldCharType="end"/>
            </w:r>
          </w:hyperlink>
        </w:p>
        <w:p w14:paraId="2E35E091" w14:textId="77777777" w:rsidR="006474AA" w:rsidRDefault="006474AA">
          <w:pPr>
            <w:pStyle w:val="TOC3"/>
            <w:tabs>
              <w:tab w:val="right" w:leader="dot" w:pos="9350"/>
            </w:tabs>
            <w:rPr>
              <w:noProof/>
            </w:rPr>
          </w:pPr>
          <w:hyperlink w:anchor="_Toc223543507" w:history="1">
            <w:r w:rsidRPr="00374029">
              <w:rPr>
                <w:rStyle w:val="Hyperlink"/>
                <w:noProof/>
              </w:rPr>
              <w:t>Silver: Enriched &amp; Unified</w:t>
            </w:r>
            <w:r>
              <w:rPr>
                <w:noProof/>
              </w:rPr>
              <w:tab/>
            </w:r>
            <w:r>
              <w:rPr>
                <w:noProof/>
              </w:rPr>
              <w:fldChar w:fldCharType="begin"/>
            </w:r>
            <w:r>
              <w:rPr>
                <w:noProof/>
              </w:rPr>
              <w:instrText xml:space="preserve"> PAGEREF _Toc223543507 \h </w:instrText>
            </w:r>
            <w:r>
              <w:rPr>
                <w:noProof/>
              </w:rPr>
            </w:r>
            <w:r>
              <w:rPr>
                <w:noProof/>
              </w:rPr>
              <w:fldChar w:fldCharType="separate"/>
            </w:r>
            <w:r>
              <w:rPr>
                <w:noProof/>
              </w:rPr>
              <w:t>5</w:t>
            </w:r>
            <w:r>
              <w:rPr>
                <w:noProof/>
              </w:rPr>
              <w:fldChar w:fldCharType="end"/>
            </w:r>
          </w:hyperlink>
        </w:p>
        <w:p w14:paraId="63F4F842" w14:textId="77777777" w:rsidR="006474AA" w:rsidRDefault="006474AA">
          <w:pPr>
            <w:pStyle w:val="TOC3"/>
            <w:tabs>
              <w:tab w:val="right" w:leader="dot" w:pos="9350"/>
            </w:tabs>
            <w:rPr>
              <w:noProof/>
            </w:rPr>
          </w:pPr>
          <w:hyperlink w:anchor="_Toc223543508" w:history="1">
            <w:r w:rsidRPr="00374029">
              <w:rPr>
                <w:rStyle w:val="Hyperlink"/>
                <w:noProof/>
              </w:rPr>
              <w:t>Gold: BI Analytics Layer</w:t>
            </w:r>
            <w:r>
              <w:rPr>
                <w:noProof/>
              </w:rPr>
              <w:tab/>
            </w:r>
            <w:r>
              <w:rPr>
                <w:noProof/>
              </w:rPr>
              <w:fldChar w:fldCharType="begin"/>
            </w:r>
            <w:r>
              <w:rPr>
                <w:noProof/>
              </w:rPr>
              <w:instrText xml:space="preserve"> PAGEREF _Toc223543508 \h </w:instrText>
            </w:r>
            <w:r>
              <w:rPr>
                <w:noProof/>
              </w:rPr>
            </w:r>
            <w:r>
              <w:rPr>
                <w:noProof/>
              </w:rPr>
              <w:fldChar w:fldCharType="separate"/>
            </w:r>
            <w:r>
              <w:rPr>
                <w:noProof/>
              </w:rPr>
              <w:t>5</w:t>
            </w:r>
            <w:r>
              <w:rPr>
                <w:noProof/>
              </w:rPr>
              <w:fldChar w:fldCharType="end"/>
            </w:r>
          </w:hyperlink>
        </w:p>
        <w:p w14:paraId="47E4F729" w14:textId="77777777" w:rsidR="006474AA" w:rsidRDefault="006474AA">
          <w:pPr>
            <w:pStyle w:val="TOC3"/>
            <w:tabs>
              <w:tab w:val="right" w:leader="dot" w:pos="9350"/>
            </w:tabs>
            <w:rPr>
              <w:noProof/>
            </w:rPr>
          </w:pPr>
          <w:hyperlink w:anchor="_Toc223543509" w:history="1">
            <w:r w:rsidRPr="00374029">
              <w:rPr>
                <w:rStyle w:val="Hyperlink"/>
                <w:noProof/>
              </w:rPr>
              <w:t>Feature Store / Science Layer</w:t>
            </w:r>
            <w:r>
              <w:rPr>
                <w:noProof/>
              </w:rPr>
              <w:tab/>
            </w:r>
            <w:r>
              <w:rPr>
                <w:noProof/>
              </w:rPr>
              <w:fldChar w:fldCharType="begin"/>
            </w:r>
            <w:r>
              <w:rPr>
                <w:noProof/>
              </w:rPr>
              <w:instrText xml:space="preserve"> PAGEREF _Toc223543509 \h </w:instrText>
            </w:r>
            <w:r>
              <w:rPr>
                <w:noProof/>
              </w:rPr>
            </w:r>
            <w:r>
              <w:rPr>
                <w:noProof/>
              </w:rPr>
              <w:fldChar w:fldCharType="separate"/>
            </w:r>
            <w:r>
              <w:rPr>
                <w:noProof/>
              </w:rPr>
              <w:t>6</w:t>
            </w:r>
            <w:r>
              <w:rPr>
                <w:noProof/>
              </w:rPr>
              <w:fldChar w:fldCharType="end"/>
            </w:r>
          </w:hyperlink>
        </w:p>
        <w:p w14:paraId="35EAAB0C" w14:textId="77777777" w:rsidR="006474AA" w:rsidRDefault="006474AA">
          <w:pPr>
            <w:pStyle w:val="TOC3"/>
            <w:tabs>
              <w:tab w:val="right" w:leader="dot" w:pos="9350"/>
            </w:tabs>
            <w:rPr>
              <w:noProof/>
            </w:rPr>
          </w:pPr>
          <w:hyperlink w:anchor="_Toc223543510" w:history="1">
            <w:r w:rsidRPr="00374029">
              <w:rPr>
                <w:rStyle w:val="Hyperlink"/>
                <w:noProof/>
              </w:rPr>
              <w:t>Platinum: FI Sovereign Layer</w:t>
            </w:r>
            <w:r>
              <w:rPr>
                <w:noProof/>
              </w:rPr>
              <w:tab/>
            </w:r>
            <w:r>
              <w:rPr>
                <w:noProof/>
              </w:rPr>
              <w:fldChar w:fldCharType="begin"/>
            </w:r>
            <w:r>
              <w:rPr>
                <w:noProof/>
              </w:rPr>
              <w:instrText xml:space="preserve"> PAGEREF _Toc223543510 \h </w:instrText>
            </w:r>
            <w:r>
              <w:rPr>
                <w:noProof/>
              </w:rPr>
            </w:r>
            <w:r>
              <w:rPr>
                <w:noProof/>
              </w:rPr>
              <w:fldChar w:fldCharType="separate"/>
            </w:r>
            <w:r>
              <w:rPr>
                <w:noProof/>
              </w:rPr>
              <w:t>6</w:t>
            </w:r>
            <w:r>
              <w:rPr>
                <w:noProof/>
              </w:rPr>
              <w:fldChar w:fldCharType="end"/>
            </w:r>
          </w:hyperlink>
        </w:p>
        <w:p w14:paraId="06B0CC52" w14:textId="77777777" w:rsidR="006474AA" w:rsidRDefault="006474AA">
          <w:pPr>
            <w:pStyle w:val="TOC2"/>
            <w:tabs>
              <w:tab w:val="right" w:leader="dot" w:pos="9350"/>
            </w:tabs>
            <w:rPr>
              <w:noProof/>
            </w:rPr>
          </w:pPr>
          <w:hyperlink w:anchor="_Toc223543511" w:history="1">
            <w:r w:rsidRPr="00374029">
              <w:rPr>
                <w:rStyle w:val="Hyperlink"/>
                <w:noProof/>
              </w:rPr>
              <w:t>3.2 The Payment Event Graph and Time Delta Model</w:t>
            </w:r>
            <w:r>
              <w:rPr>
                <w:noProof/>
              </w:rPr>
              <w:tab/>
            </w:r>
            <w:r>
              <w:rPr>
                <w:noProof/>
              </w:rPr>
              <w:fldChar w:fldCharType="begin"/>
            </w:r>
            <w:r>
              <w:rPr>
                <w:noProof/>
              </w:rPr>
              <w:instrText xml:space="preserve"> PAGEREF _Toc223543511 \h </w:instrText>
            </w:r>
            <w:r>
              <w:rPr>
                <w:noProof/>
              </w:rPr>
            </w:r>
            <w:r>
              <w:rPr>
                <w:noProof/>
              </w:rPr>
              <w:fldChar w:fldCharType="separate"/>
            </w:r>
            <w:r>
              <w:rPr>
                <w:noProof/>
              </w:rPr>
              <w:t>6</w:t>
            </w:r>
            <w:r>
              <w:rPr>
                <w:noProof/>
              </w:rPr>
              <w:fldChar w:fldCharType="end"/>
            </w:r>
          </w:hyperlink>
        </w:p>
        <w:p w14:paraId="479B1AEA" w14:textId="77777777" w:rsidR="006474AA" w:rsidRDefault="006474AA">
          <w:pPr>
            <w:pStyle w:val="TOC2"/>
            <w:tabs>
              <w:tab w:val="right" w:leader="dot" w:pos="9350"/>
            </w:tabs>
            <w:rPr>
              <w:noProof/>
            </w:rPr>
          </w:pPr>
          <w:hyperlink w:anchor="_Toc223543512" w:history="1">
            <w:r w:rsidRPr="00374029">
              <w:rPr>
                <w:rStyle w:val="Hyperlink"/>
                <w:noProof/>
              </w:rPr>
              <w:t>3.3 Foundation Model Architecture: Backbone and Task Heads</w:t>
            </w:r>
            <w:r>
              <w:rPr>
                <w:noProof/>
              </w:rPr>
              <w:tab/>
            </w:r>
            <w:r>
              <w:rPr>
                <w:noProof/>
              </w:rPr>
              <w:fldChar w:fldCharType="begin"/>
            </w:r>
            <w:r>
              <w:rPr>
                <w:noProof/>
              </w:rPr>
              <w:instrText xml:space="preserve"> PAGEREF _Toc223543512 \h </w:instrText>
            </w:r>
            <w:r>
              <w:rPr>
                <w:noProof/>
              </w:rPr>
            </w:r>
            <w:r>
              <w:rPr>
                <w:noProof/>
              </w:rPr>
              <w:fldChar w:fldCharType="separate"/>
            </w:r>
            <w:r>
              <w:rPr>
                <w:noProof/>
              </w:rPr>
              <w:t>7</w:t>
            </w:r>
            <w:r>
              <w:rPr>
                <w:noProof/>
              </w:rPr>
              <w:fldChar w:fldCharType="end"/>
            </w:r>
          </w:hyperlink>
        </w:p>
        <w:p w14:paraId="24645488" w14:textId="77777777" w:rsidR="006474AA" w:rsidRDefault="006474AA">
          <w:pPr>
            <w:pStyle w:val="TOC3"/>
            <w:tabs>
              <w:tab w:val="right" w:leader="dot" w:pos="9350"/>
            </w:tabs>
            <w:rPr>
              <w:noProof/>
            </w:rPr>
          </w:pPr>
          <w:hyperlink w:anchor="_Toc223543513" w:history="1">
            <w:r w:rsidRPr="00374029">
              <w:rPr>
                <w:rStyle w:val="Hyperlink"/>
                <w:noProof/>
              </w:rPr>
              <w:t>The Backbone</w:t>
            </w:r>
            <w:r>
              <w:rPr>
                <w:noProof/>
              </w:rPr>
              <w:tab/>
            </w:r>
            <w:r>
              <w:rPr>
                <w:noProof/>
              </w:rPr>
              <w:fldChar w:fldCharType="begin"/>
            </w:r>
            <w:r>
              <w:rPr>
                <w:noProof/>
              </w:rPr>
              <w:instrText xml:space="preserve"> PAGEREF _Toc223543513 \h </w:instrText>
            </w:r>
            <w:r>
              <w:rPr>
                <w:noProof/>
              </w:rPr>
            </w:r>
            <w:r>
              <w:rPr>
                <w:noProof/>
              </w:rPr>
              <w:fldChar w:fldCharType="separate"/>
            </w:r>
            <w:r>
              <w:rPr>
                <w:noProof/>
              </w:rPr>
              <w:t>7</w:t>
            </w:r>
            <w:r>
              <w:rPr>
                <w:noProof/>
              </w:rPr>
              <w:fldChar w:fldCharType="end"/>
            </w:r>
          </w:hyperlink>
        </w:p>
        <w:p w14:paraId="380BB0DC" w14:textId="77777777" w:rsidR="006474AA" w:rsidRDefault="006474AA">
          <w:pPr>
            <w:pStyle w:val="TOC3"/>
            <w:tabs>
              <w:tab w:val="right" w:leader="dot" w:pos="9350"/>
            </w:tabs>
            <w:rPr>
              <w:noProof/>
            </w:rPr>
          </w:pPr>
          <w:hyperlink w:anchor="_Toc223543514" w:history="1">
            <w:r w:rsidRPr="00374029">
              <w:rPr>
                <w:rStyle w:val="Hyperlink"/>
                <w:noProof/>
              </w:rPr>
              <w:t>Task-Specific Heads</w:t>
            </w:r>
            <w:r>
              <w:rPr>
                <w:noProof/>
              </w:rPr>
              <w:tab/>
            </w:r>
            <w:r>
              <w:rPr>
                <w:noProof/>
              </w:rPr>
              <w:fldChar w:fldCharType="begin"/>
            </w:r>
            <w:r>
              <w:rPr>
                <w:noProof/>
              </w:rPr>
              <w:instrText xml:space="preserve"> PAGEREF _Toc223543514 \h </w:instrText>
            </w:r>
            <w:r>
              <w:rPr>
                <w:noProof/>
              </w:rPr>
            </w:r>
            <w:r>
              <w:rPr>
                <w:noProof/>
              </w:rPr>
              <w:fldChar w:fldCharType="separate"/>
            </w:r>
            <w:r>
              <w:rPr>
                <w:noProof/>
              </w:rPr>
              <w:t>7</w:t>
            </w:r>
            <w:r>
              <w:rPr>
                <w:noProof/>
              </w:rPr>
              <w:fldChar w:fldCharType="end"/>
            </w:r>
          </w:hyperlink>
        </w:p>
        <w:p w14:paraId="338CBE64" w14:textId="77777777" w:rsidR="006474AA" w:rsidRDefault="006474AA">
          <w:pPr>
            <w:pStyle w:val="TOC1"/>
            <w:tabs>
              <w:tab w:val="right" w:leader="dot" w:pos="9350"/>
            </w:tabs>
            <w:rPr>
              <w:noProof/>
            </w:rPr>
          </w:pPr>
          <w:hyperlink w:anchor="_Toc223543515" w:history="1">
            <w:r w:rsidRPr="00374029">
              <w:rPr>
                <w:rStyle w:val="Hyperlink"/>
                <w:noProof/>
              </w:rPr>
              <w:t>4. Three Participation Tiers</w:t>
            </w:r>
            <w:r>
              <w:rPr>
                <w:noProof/>
              </w:rPr>
              <w:tab/>
            </w:r>
            <w:r>
              <w:rPr>
                <w:noProof/>
              </w:rPr>
              <w:fldChar w:fldCharType="begin"/>
            </w:r>
            <w:r>
              <w:rPr>
                <w:noProof/>
              </w:rPr>
              <w:instrText xml:space="preserve"> PAGEREF _Toc223543515 \h </w:instrText>
            </w:r>
            <w:r>
              <w:rPr>
                <w:noProof/>
              </w:rPr>
            </w:r>
            <w:r>
              <w:rPr>
                <w:noProof/>
              </w:rPr>
              <w:fldChar w:fldCharType="separate"/>
            </w:r>
            <w:r>
              <w:rPr>
                <w:noProof/>
              </w:rPr>
              <w:t>8</w:t>
            </w:r>
            <w:r>
              <w:rPr>
                <w:noProof/>
              </w:rPr>
              <w:fldChar w:fldCharType="end"/>
            </w:r>
          </w:hyperlink>
        </w:p>
        <w:p w14:paraId="3970CD55" w14:textId="77777777" w:rsidR="006474AA" w:rsidRDefault="006474AA">
          <w:pPr>
            <w:pStyle w:val="TOC2"/>
            <w:tabs>
              <w:tab w:val="right" w:leader="dot" w:pos="9350"/>
            </w:tabs>
            <w:rPr>
              <w:noProof/>
            </w:rPr>
          </w:pPr>
          <w:hyperlink w:anchor="_Toc223543516" w:history="1">
            <w:r w:rsidRPr="00374029">
              <w:rPr>
                <w:rStyle w:val="Hyperlink"/>
                <w:noProof/>
              </w:rPr>
              <w:t>4.1 Tier 1: Contributor</w:t>
            </w:r>
            <w:r>
              <w:rPr>
                <w:noProof/>
              </w:rPr>
              <w:tab/>
            </w:r>
            <w:r>
              <w:rPr>
                <w:noProof/>
              </w:rPr>
              <w:fldChar w:fldCharType="begin"/>
            </w:r>
            <w:r>
              <w:rPr>
                <w:noProof/>
              </w:rPr>
              <w:instrText xml:space="preserve"> PAGEREF _Toc223543516 \h </w:instrText>
            </w:r>
            <w:r>
              <w:rPr>
                <w:noProof/>
              </w:rPr>
            </w:r>
            <w:r>
              <w:rPr>
                <w:noProof/>
              </w:rPr>
              <w:fldChar w:fldCharType="separate"/>
            </w:r>
            <w:r>
              <w:rPr>
                <w:noProof/>
              </w:rPr>
              <w:t>8</w:t>
            </w:r>
            <w:r>
              <w:rPr>
                <w:noProof/>
              </w:rPr>
              <w:fldChar w:fldCharType="end"/>
            </w:r>
          </w:hyperlink>
        </w:p>
        <w:p w14:paraId="378208E6" w14:textId="77777777" w:rsidR="006474AA" w:rsidRDefault="006474AA">
          <w:pPr>
            <w:pStyle w:val="TOC2"/>
            <w:tabs>
              <w:tab w:val="right" w:leader="dot" w:pos="9350"/>
            </w:tabs>
            <w:rPr>
              <w:noProof/>
            </w:rPr>
          </w:pPr>
          <w:hyperlink w:anchor="_Toc223543517" w:history="1">
            <w:r w:rsidRPr="00374029">
              <w:rPr>
                <w:rStyle w:val="Hyperlink"/>
                <w:noProof/>
              </w:rPr>
              <w:t>4.2 Tier 2: Federated</w:t>
            </w:r>
            <w:r>
              <w:rPr>
                <w:noProof/>
              </w:rPr>
              <w:tab/>
            </w:r>
            <w:r>
              <w:rPr>
                <w:noProof/>
              </w:rPr>
              <w:fldChar w:fldCharType="begin"/>
            </w:r>
            <w:r>
              <w:rPr>
                <w:noProof/>
              </w:rPr>
              <w:instrText xml:space="preserve"> PAGEREF _Toc223543517 \h </w:instrText>
            </w:r>
            <w:r>
              <w:rPr>
                <w:noProof/>
              </w:rPr>
            </w:r>
            <w:r>
              <w:rPr>
                <w:noProof/>
              </w:rPr>
              <w:fldChar w:fldCharType="separate"/>
            </w:r>
            <w:r>
              <w:rPr>
                <w:noProof/>
              </w:rPr>
              <w:t>9</w:t>
            </w:r>
            <w:r>
              <w:rPr>
                <w:noProof/>
              </w:rPr>
              <w:fldChar w:fldCharType="end"/>
            </w:r>
          </w:hyperlink>
        </w:p>
        <w:p w14:paraId="129C434A" w14:textId="77777777" w:rsidR="006474AA" w:rsidRDefault="006474AA">
          <w:pPr>
            <w:pStyle w:val="TOC2"/>
            <w:tabs>
              <w:tab w:val="right" w:leader="dot" w:pos="9350"/>
            </w:tabs>
            <w:rPr>
              <w:noProof/>
            </w:rPr>
          </w:pPr>
          <w:hyperlink w:anchor="_Toc223543518" w:history="1">
            <w:r w:rsidRPr="00374029">
              <w:rPr>
                <w:rStyle w:val="Hyperlink"/>
                <w:noProof/>
              </w:rPr>
              <w:t>4.3 Tier 3: Observer</w:t>
            </w:r>
            <w:r>
              <w:rPr>
                <w:noProof/>
              </w:rPr>
              <w:tab/>
            </w:r>
            <w:r>
              <w:rPr>
                <w:noProof/>
              </w:rPr>
              <w:fldChar w:fldCharType="begin"/>
            </w:r>
            <w:r>
              <w:rPr>
                <w:noProof/>
              </w:rPr>
              <w:instrText xml:space="preserve"> PAGEREF _Toc223543518 \h </w:instrText>
            </w:r>
            <w:r>
              <w:rPr>
                <w:noProof/>
              </w:rPr>
            </w:r>
            <w:r>
              <w:rPr>
                <w:noProof/>
              </w:rPr>
              <w:fldChar w:fldCharType="separate"/>
            </w:r>
            <w:r>
              <w:rPr>
                <w:noProof/>
              </w:rPr>
              <w:t>9</w:t>
            </w:r>
            <w:r>
              <w:rPr>
                <w:noProof/>
              </w:rPr>
              <w:fldChar w:fldCharType="end"/>
            </w:r>
          </w:hyperlink>
        </w:p>
        <w:p w14:paraId="0FCE184C" w14:textId="77777777" w:rsidR="006474AA" w:rsidRDefault="006474AA">
          <w:pPr>
            <w:pStyle w:val="TOC1"/>
            <w:tabs>
              <w:tab w:val="right" w:leader="dot" w:pos="9350"/>
            </w:tabs>
            <w:rPr>
              <w:noProof/>
            </w:rPr>
          </w:pPr>
          <w:hyperlink w:anchor="_Toc223543519" w:history="1">
            <w:r w:rsidRPr="00374029">
              <w:rPr>
                <w:rStyle w:val="Hyperlink"/>
                <w:noProof/>
              </w:rPr>
              <w:t>5. Privacy and Security Architecture</w:t>
            </w:r>
            <w:r>
              <w:rPr>
                <w:noProof/>
              </w:rPr>
              <w:tab/>
            </w:r>
            <w:r>
              <w:rPr>
                <w:noProof/>
              </w:rPr>
              <w:fldChar w:fldCharType="begin"/>
            </w:r>
            <w:r>
              <w:rPr>
                <w:noProof/>
              </w:rPr>
              <w:instrText xml:space="preserve"> PAGEREF _Toc223543519 \h </w:instrText>
            </w:r>
            <w:r>
              <w:rPr>
                <w:noProof/>
              </w:rPr>
            </w:r>
            <w:r>
              <w:rPr>
                <w:noProof/>
              </w:rPr>
              <w:fldChar w:fldCharType="separate"/>
            </w:r>
            <w:r>
              <w:rPr>
                <w:noProof/>
              </w:rPr>
              <w:t>10</w:t>
            </w:r>
            <w:r>
              <w:rPr>
                <w:noProof/>
              </w:rPr>
              <w:fldChar w:fldCharType="end"/>
            </w:r>
          </w:hyperlink>
        </w:p>
        <w:p w14:paraId="7086C7BD" w14:textId="77777777" w:rsidR="006474AA" w:rsidRDefault="006474AA">
          <w:pPr>
            <w:pStyle w:val="TOC2"/>
            <w:tabs>
              <w:tab w:val="right" w:leader="dot" w:pos="9350"/>
            </w:tabs>
            <w:rPr>
              <w:noProof/>
            </w:rPr>
          </w:pPr>
          <w:hyperlink w:anchor="_Toc223543520" w:history="1">
            <w:r w:rsidRPr="00374029">
              <w:rPr>
                <w:rStyle w:val="Hyperlink"/>
                <w:noProof/>
              </w:rPr>
              <w:t>5.1 Cryptographic Data Isolation</w:t>
            </w:r>
            <w:r>
              <w:rPr>
                <w:noProof/>
              </w:rPr>
              <w:tab/>
            </w:r>
            <w:r>
              <w:rPr>
                <w:noProof/>
              </w:rPr>
              <w:fldChar w:fldCharType="begin"/>
            </w:r>
            <w:r>
              <w:rPr>
                <w:noProof/>
              </w:rPr>
              <w:instrText xml:space="preserve"> PAGEREF _Toc223543520 \h </w:instrText>
            </w:r>
            <w:r>
              <w:rPr>
                <w:noProof/>
              </w:rPr>
            </w:r>
            <w:r>
              <w:rPr>
                <w:noProof/>
              </w:rPr>
              <w:fldChar w:fldCharType="separate"/>
            </w:r>
            <w:r>
              <w:rPr>
                <w:noProof/>
              </w:rPr>
              <w:t>10</w:t>
            </w:r>
            <w:r>
              <w:rPr>
                <w:noProof/>
              </w:rPr>
              <w:fldChar w:fldCharType="end"/>
            </w:r>
          </w:hyperlink>
        </w:p>
        <w:p w14:paraId="7DA99D56" w14:textId="77777777" w:rsidR="006474AA" w:rsidRDefault="006474AA">
          <w:pPr>
            <w:pStyle w:val="TOC2"/>
            <w:tabs>
              <w:tab w:val="right" w:leader="dot" w:pos="9350"/>
            </w:tabs>
            <w:rPr>
              <w:noProof/>
            </w:rPr>
          </w:pPr>
          <w:hyperlink w:anchor="_Toc223543521" w:history="1">
            <w:r w:rsidRPr="00374029">
              <w:rPr>
                <w:rStyle w:val="Hyperlink"/>
                <w:noProof/>
              </w:rPr>
              <w:t>5.2 Differential Privacy</w:t>
            </w:r>
            <w:r>
              <w:rPr>
                <w:noProof/>
              </w:rPr>
              <w:tab/>
            </w:r>
            <w:r>
              <w:rPr>
                <w:noProof/>
              </w:rPr>
              <w:fldChar w:fldCharType="begin"/>
            </w:r>
            <w:r>
              <w:rPr>
                <w:noProof/>
              </w:rPr>
              <w:instrText xml:space="preserve"> PAGEREF _Toc223543521 \h </w:instrText>
            </w:r>
            <w:r>
              <w:rPr>
                <w:noProof/>
              </w:rPr>
            </w:r>
            <w:r>
              <w:rPr>
                <w:noProof/>
              </w:rPr>
              <w:fldChar w:fldCharType="separate"/>
            </w:r>
            <w:r>
              <w:rPr>
                <w:noProof/>
              </w:rPr>
              <w:t>10</w:t>
            </w:r>
            <w:r>
              <w:rPr>
                <w:noProof/>
              </w:rPr>
              <w:fldChar w:fldCharType="end"/>
            </w:r>
          </w:hyperlink>
        </w:p>
        <w:p w14:paraId="6F05D9DC" w14:textId="77777777" w:rsidR="006474AA" w:rsidRDefault="006474AA">
          <w:pPr>
            <w:pStyle w:val="TOC2"/>
            <w:tabs>
              <w:tab w:val="right" w:leader="dot" w:pos="9350"/>
            </w:tabs>
            <w:rPr>
              <w:noProof/>
            </w:rPr>
          </w:pPr>
          <w:hyperlink w:anchor="_Toc223543522" w:history="1">
            <w:r w:rsidRPr="00374029">
              <w:rPr>
                <w:rStyle w:val="Hyperlink"/>
                <w:noProof/>
              </w:rPr>
              <w:t>5.3 Secure Multi-Party Computation for Gradient Aggregation</w:t>
            </w:r>
            <w:r>
              <w:rPr>
                <w:noProof/>
              </w:rPr>
              <w:tab/>
            </w:r>
            <w:r>
              <w:rPr>
                <w:noProof/>
              </w:rPr>
              <w:fldChar w:fldCharType="begin"/>
            </w:r>
            <w:r>
              <w:rPr>
                <w:noProof/>
              </w:rPr>
              <w:instrText xml:space="preserve"> PAGEREF _Toc223543522 \h </w:instrText>
            </w:r>
            <w:r>
              <w:rPr>
                <w:noProof/>
              </w:rPr>
            </w:r>
            <w:r>
              <w:rPr>
                <w:noProof/>
              </w:rPr>
              <w:fldChar w:fldCharType="separate"/>
            </w:r>
            <w:r>
              <w:rPr>
                <w:noProof/>
              </w:rPr>
              <w:t>10</w:t>
            </w:r>
            <w:r>
              <w:rPr>
                <w:noProof/>
              </w:rPr>
              <w:fldChar w:fldCharType="end"/>
            </w:r>
          </w:hyperlink>
        </w:p>
        <w:p w14:paraId="4E83C33C" w14:textId="77777777" w:rsidR="006474AA" w:rsidRDefault="006474AA">
          <w:pPr>
            <w:pStyle w:val="TOC2"/>
            <w:tabs>
              <w:tab w:val="right" w:leader="dot" w:pos="9350"/>
            </w:tabs>
            <w:rPr>
              <w:noProof/>
            </w:rPr>
          </w:pPr>
          <w:hyperlink w:anchor="_Toc223543523" w:history="1">
            <w:r w:rsidRPr="00374029">
              <w:rPr>
                <w:rStyle w:val="Hyperlink"/>
                <w:noProof/>
              </w:rPr>
              <w:t>5.4 The Platinum Isolation Model</w:t>
            </w:r>
            <w:r>
              <w:rPr>
                <w:noProof/>
              </w:rPr>
              <w:tab/>
            </w:r>
            <w:r>
              <w:rPr>
                <w:noProof/>
              </w:rPr>
              <w:fldChar w:fldCharType="begin"/>
            </w:r>
            <w:r>
              <w:rPr>
                <w:noProof/>
              </w:rPr>
              <w:instrText xml:space="preserve"> PAGEREF _Toc223543523 \h </w:instrText>
            </w:r>
            <w:r>
              <w:rPr>
                <w:noProof/>
              </w:rPr>
            </w:r>
            <w:r>
              <w:rPr>
                <w:noProof/>
              </w:rPr>
              <w:fldChar w:fldCharType="separate"/>
            </w:r>
            <w:r>
              <w:rPr>
                <w:noProof/>
              </w:rPr>
              <w:t>10</w:t>
            </w:r>
            <w:r>
              <w:rPr>
                <w:noProof/>
              </w:rPr>
              <w:fldChar w:fldCharType="end"/>
            </w:r>
          </w:hyperlink>
        </w:p>
        <w:p w14:paraId="2FE5A772" w14:textId="77777777" w:rsidR="006474AA" w:rsidRDefault="006474AA">
          <w:pPr>
            <w:pStyle w:val="TOC1"/>
            <w:tabs>
              <w:tab w:val="right" w:leader="dot" w:pos="9350"/>
            </w:tabs>
            <w:rPr>
              <w:noProof/>
            </w:rPr>
          </w:pPr>
          <w:hyperlink w:anchor="_Toc223543524" w:history="1">
            <w:r w:rsidRPr="00374029">
              <w:rPr>
                <w:rStyle w:val="Hyperlink"/>
                <w:noProof/>
              </w:rPr>
              <w:t>6. Backbone Version Management: LoRA Adapters</w:t>
            </w:r>
            <w:r>
              <w:rPr>
                <w:noProof/>
              </w:rPr>
              <w:tab/>
            </w:r>
            <w:r>
              <w:rPr>
                <w:noProof/>
              </w:rPr>
              <w:fldChar w:fldCharType="begin"/>
            </w:r>
            <w:r>
              <w:rPr>
                <w:noProof/>
              </w:rPr>
              <w:instrText xml:space="preserve"> PAGEREF _Toc223543524 \h </w:instrText>
            </w:r>
            <w:r>
              <w:rPr>
                <w:noProof/>
              </w:rPr>
            </w:r>
            <w:r>
              <w:rPr>
                <w:noProof/>
              </w:rPr>
              <w:fldChar w:fldCharType="separate"/>
            </w:r>
            <w:r>
              <w:rPr>
                <w:noProof/>
              </w:rPr>
              <w:t>12</w:t>
            </w:r>
            <w:r>
              <w:rPr>
                <w:noProof/>
              </w:rPr>
              <w:fldChar w:fldCharType="end"/>
            </w:r>
          </w:hyperlink>
        </w:p>
        <w:p w14:paraId="1855814E" w14:textId="77777777" w:rsidR="006474AA" w:rsidRDefault="006474AA">
          <w:pPr>
            <w:pStyle w:val="TOC1"/>
            <w:tabs>
              <w:tab w:val="right" w:leader="dot" w:pos="9350"/>
            </w:tabs>
            <w:rPr>
              <w:noProof/>
            </w:rPr>
          </w:pPr>
          <w:hyperlink w:anchor="_Toc223543525" w:history="1">
            <w:r w:rsidRPr="00374029">
              <w:rPr>
                <w:rStyle w:val="Hyperlink"/>
                <w:noProof/>
              </w:rPr>
              <w:t>7. Implementation Roadmap</w:t>
            </w:r>
            <w:r>
              <w:rPr>
                <w:noProof/>
              </w:rPr>
              <w:tab/>
            </w:r>
            <w:r>
              <w:rPr>
                <w:noProof/>
              </w:rPr>
              <w:fldChar w:fldCharType="begin"/>
            </w:r>
            <w:r>
              <w:rPr>
                <w:noProof/>
              </w:rPr>
              <w:instrText xml:space="preserve"> PAGEREF _Toc223543525 \h </w:instrText>
            </w:r>
            <w:r>
              <w:rPr>
                <w:noProof/>
              </w:rPr>
            </w:r>
            <w:r>
              <w:rPr>
                <w:noProof/>
              </w:rPr>
              <w:fldChar w:fldCharType="separate"/>
            </w:r>
            <w:r>
              <w:rPr>
                <w:noProof/>
              </w:rPr>
              <w:t>13</w:t>
            </w:r>
            <w:r>
              <w:rPr>
                <w:noProof/>
              </w:rPr>
              <w:fldChar w:fldCharType="end"/>
            </w:r>
          </w:hyperlink>
        </w:p>
        <w:p w14:paraId="234E4C5A" w14:textId="77777777" w:rsidR="006474AA" w:rsidRDefault="006474AA">
          <w:pPr>
            <w:pStyle w:val="TOC2"/>
            <w:tabs>
              <w:tab w:val="right" w:leader="dot" w:pos="9350"/>
            </w:tabs>
            <w:rPr>
              <w:noProof/>
            </w:rPr>
          </w:pPr>
          <w:hyperlink w:anchor="_Toc223543526" w:history="1">
            <w:r w:rsidRPr="00374029">
              <w:rPr>
                <w:rStyle w:val="Hyperlink"/>
                <w:noProof/>
              </w:rPr>
              <w:t>7.1 Open Research Problems</w:t>
            </w:r>
            <w:r>
              <w:rPr>
                <w:noProof/>
              </w:rPr>
              <w:tab/>
            </w:r>
            <w:r>
              <w:rPr>
                <w:noProof/>
              </w:rPr>
              <w:fldChar w:fldCharType="begin"/>
            </w:r>
            <w:r>
              <w:rPr>
                <w:noProof/>
              </w:rPr>
              <w:instrText xml:space="preserve"> PAGEREF _Toc223543526 \h </w:instrText>
            </w:r>
            <w:r>
              <w:rPr>
                <w:noProof/>
              </w:rPr>
            </w:r>
            <w:r>
              <w:rPr>
                <w:noProof/>
              </w:rPr>
              <w:fldChar w:fldCharType="separate"/>
            </w:r>
            <w:r>
              <w:rPr>
                <w:noProof/>
              </w:rPr>
              <w:t>13</w:t>
            </w:r>
            <w:r>
              <w:rPr>
                <w:noProof/>
              </w:rPr>
              <w:fldChar w:fldCharType="end"/>
            </w:r>
          </w:hyperlink>
        </w:p>
        <w:p w14:paraId="0DD3E952" w14:textId="77777777" w:rsidR="006474AA" w:rsidRDefault="006474AA">
          <w:pPr>
            <w:pStyle w:val="TOC1"/>
            <w:tabs>
              <w:tab w:val="right" w:leader="dot" w:pos="9350"/>
            </w:tabs>
            <w:rPr>
              <w:noProof/>
            </w:rPr>
          </w:pPr>
          <w:hyperlink w:anchor="_Toc223543527" w:history="1">
            <w:r w:rsidRPr="00374029">
              <w:rPr>
                <w:rStyle w:val="Hyperlink"/>
                <w:noProof/>
              </w:rPr>
              <w:t>8. Conclusion</w:t>
            </w:r>
            <w:r>
              <w:rPr>
                <w:noProof/>
              </w:rPr>
              <w:tab/>
            </w:r>
            <w:r>
              <w:rPr>
                <w:noProof/>
              </w:rPr>
              <w:fldChar w:fldCharType="begin"/>
            </w:r>
            <w:r>
              <w:rPr>
                <w:noProof/>
              </w:rPr>
              <w:instrText xml:space="preserve"> PAGEREF _Toc223543527 \h </w:instrText>
            </w:r>
            <w:r>
              <w:rPr>
                <w:noProof/>
              </w:rPr>
            </w:r>
            <w:r>
              <w:rPr>
                <w:noProof/>
              </w:rPr>
              <w:fldChar w:fldCharType="separate"/>
            </w:r>
            <w:r>
              <w:rPr>
                <w:noProof/>
              </w:rPr>
              <w:t>14</w:t>
            </w:r>
            <w:r>
              <w:rPr>
                <w:noProof/>
              </w:rPr>
              <w:fldChar w:fldCharType="end"/>
            </w:r>
          </w:hyperlink>
        </w:p>
        <w:p w14:paraId="15AAB35A" w14:textId="77777777" w:rsidR="00F2029F" w:rsidRDefault="00000000">
          <w:r>
            <w:fldChar w:fldCharType="end"/>
          </w:r>
        </w:p>
      </w:sdtContent>
    </w:sdt>
    <w:p w14:paraId="50AF3EE3" w14:textId="77777777" w:rsidR="00F2029F" w:rsidRDefault="00000000">
      <w:r>
        <w:br w:type="page"/>
      </w:r>
    </w:p>
    <w:p w14:paraId="6E0C7755" w14:textId="77777777" w:rsidR="00F2029F" w:rsidRDefault="00000000">
      <w:pPr>
        <w:pStyle w:val="Heading1"/>
      </w:pPr>
      <w:bookmarkStart w:id="0" w:name="_Toc223543500"/>
      <w:r>
        <w:lastRenderedPageBreak/>
        <w:t>1. Executive Summary</w:t>
      </w:r>
      <w:bookmarkEnd w:id="0"/>
    </w:p>
    <w:p w14:paraId="6F4AF528" w14:textId="77777777" w:rsidR="00F2029F" w:rsidRDefault="00000000">
      <w:pPr>
        <w:spacing w:before="60" w:after="120"/>
      </w:pPr>
      <w:r>
        <w:t>Jack Henry &amp; Associates operates infrastructure for over 8,000 financial institutions, processing payments across 18 distinct payment types and 7–8 rails. Each payment generates a rich sequence of lifecycle events — from origination through settlement and potential exception — that collectively encode the behavioral fingerprint of the U.S. payments ecosystem.</w:t>
      </w:r>
    </w:p>
    <w:p w14:paraId="29ABF459" w14:textId="77777777" w:rsidR="00F2029F" w:rsidRDefault="00000000">
      <w:pPr>
        <w:spacing w:before="60" w:after="120"/>
      </w:pPr>
      <w:r>
        <w:t>This whitepaper describes a foundation model architecture that transforms that event data into a shared intelligence layer: a pre-trained model backbone that encodes cross-rail payment dynamics, combined with per-FI fine-tuned task heads that specialize the backbone to each institution's unique payment patterns. The result is a system where every participating FI benefits from collective intelligence while retaining full data sovereignty.</w:t>
      </w:r>
    </w:p>
    <w:p w14:paraId="44C9B4B4" w14:textId="77777777" w:rsidR="00F2029F" w:rsidRDefault="00000000">
      <w:pPr>
        <w:spacing w:before="60" w:after="120"/>
      </w:pPr>
      <w:r>
        <w:t>The architecture introduces a tiered participation model — Contributor, Federated, and Observer — each with distinct data sharing obligations, privacy guarantees, and intelligence returns. Critically, the privacy guarantees are structural and mathematical, not contractual. The data architecture itself — a four-layer medallion lake with a per-FI Platinum sovereign layer — enforces isolation at the level of cryptography and system design.</w:t>
      </w:r>
    </w:p>
    <w:p w14:paraId="092623FA" w14:textId="77777777" w:rsidR="00F2029F" w:rsidRDefault="00000000">
      <w:r>
        <w:br w:type="page"/>
      </w:r>
    </w:p>
    <w:p w14:paraId="173EE558" w14:textId="77777777" w:rsidR="00F2029F" w:rsidRDefault="00000000">
      <w:pPr>
        <w:pStyle w:val="Heading1"/>
      </w:pPr>
      <w:bookmarkStart w:id="1" w:name="_Toc223543501"/>
      <w:r>
        <w:lastRenderedPageBreak/>
        <w:t>2. Problem Statement</w:t>
      </w:r>
      <w:bookmarkEnd w:id="1"/>
    </w:p>
    <w:p w14:paraId="62F12B4C" w14:textId="77777777" w:rsidR="00F2029F" w:rsidRDefault="00000000">
      <w:pPr>
        <w:spacing w:before="60" w:after="120"/>
      </w:pPr>
      <w:r>
        <w:t xml:space="preserve">The U.S. payments landscape is defined by heterogeneity. Eighteen payment types — ACH, wire, RTP, </w:t>
      </w:r>
      <w:proofErr w:type="spellStart"/>
      <w:r>
        <w:t>FedNow</w:t>
      </w:r>
      <w:proofErr w:type="spellEnd"/>
      <w:r>
        <w:t>, checks, Zelle, debit, credit, and others — operate across distinct rails with different message schemas, clearing windows, and settlement mechanics. Each FI in the Jack Henry ecosystem processes a unique mix of these payment types, reflecting their customer base, geography, and product offerings.</w:t>
      </w:r>
    </w:p>
    <w:p w14:paraId="5916E3A4" w14:textId="77777777" w:rsidR="00F2029F" w:rsidRDefault="00000000">
      <w:pPr>
        <w:pStyle w:val="Heading2"/>
      </w:pPr>
      <w:bookmarkStart w:id="2" w:name="_Toc223543502"/>
      <w:r>
        <w:t>2.1 The Intelligence Fragmentation Problem</w:t>
      </w:r>
      <w:bookmarkEnd w:id="2"/>
    </w:p>
    <w:p w14:paraId="5E27ED08" w14:textId="77777777" w:rsidR="00F2029F" w:rsidRDefault="00000000">
      <w:pPr>
        <w:spacing w:before="60" w:after="120"/>
      </w:pPr>
      <w:r>
        <w:t>Despite processing collectively enormous volumes of payment data, individual FIs build their fraud detection, anomaly detection, and operational models in isolation. A community bank with $1B in assets may process 200,000 ACH transactions per month — enough to build a reasonable ACH fraud model, but far too few to learn the rare patterns associated with coordinated cross-rail fraud or to quickly adapt to new attack vectors.</w:t>
      </w:r>
    </w:p>
    <w:p w14:paraId="3CBD3FAC" w14:textId="77777777" w:rsidR="00F2029F" w:rsidRDefault="00000000">
      <w:pPr>
        <w:spacing w:before="60" w:after="120"/>
      </w:pPr>
      <w:r>
        <w:t>This creates a systematic intelligence gap: the knowledge encoded in the aggregate payment behavior of thousands of FIs is never synthesized. Each institution learns independently, from limited local data, patterns that are in principle observable across the network.</w:t>
      </w:r>
    </w:p>
    <w:p w14:paraId="43407550" w14:textId="77777777" w:rsidR="00F2029F" w:rsidRDefault="00000000">
      <w:pPr>
        <w:pStyle w:val="Heading2"/>
      </w:pPr>
      <w:bookmarkStart w:id="3" w:name="_Toc223543503"/>
      <w:r>
        <w:t>2.2 Specific Failure Modes</w:t>
      </w:r>
      <w:bookmarkEnd w:id="3"/>
    </w:p>
    <w:p w14:paraId="1AE15103" w14:textId="77777777" w:rsidR="00F2029F" w:rsidRDefault="00000000">
      <w:pPr>
        <w:pStyle w:val="ListParagraph"/>
        <w:numPr>
          <w:ilvl w:val="0"/>
          <w:numId w:val="2"/>
        </w:numPr>
        <w:spacing w:before="40" w:after="40"/>
      </w:pPr>
      <w:r>
        <w:t xml:space="preserve">Cold starts on new rails: When a community bank adopts </w:t>
      </w:r>
      <w:proofErr w:type="spellStart"/>
      <w:r>
        <w:t>FedNow</w:t>
      </w:r>
      <w:proofErr w:type="spellEnd"/>
      <w:r>
        <w:t xml:space="preserve">, it has zero historical </w:t>
      </w:r>
      <w:proofErr w:type="spellStart"/>
      <w:r>
        <w:t>FedNow</w:t>
      </w:r>
      <w:proofErr w:type="spellEnd"/>
      <w:r>
        <w:t xml:space="preserve"> data to train on. It cannot build a meaningful anomaly model until months of data accumulate — a blind period during which fraud vectors operate undetected.</w:t>
      </w:r>
    </w:p>
    <w:p w14:paraId="50ED967D" w14:textId="77777777" w:rsidR="00F2029F" w:rsidRDefault="00000000">
      <w:pPr>
        <w:pStyle w:val="ListParagraph"/>
        <w:numPr>
          <w:ilvl w:val="0"/>
          <w:numId w:val="2"/>
        </w:numPr>
        <w:spacing w:before="40" w:after="40"/>
      </w:pPr>
      <w:r>
        <w:t>Rare event sparsity: Cross-rail fraud (coordinating simultaneous ACH and RTP transactions) is too rare at any individual FI to detect statistically. At network scale, the pattern is detectable.</w:t>
      </w:r>
    </w:p>
    <w:p w14:paraId="45B30E4E" w14:textId="77777777" w:rsidR="00F2029F" w:rsidRDefault="00000000">
      <w:pPr>
        <w:pStyle w:val="ListParagraph"/>
        <w:numPr>
          <w:ilvl w:val="0"/>
          <w:numId w:val="2"/>
        </w:numPr>
        <w:spacing w:before="40" w:after="40"/>
      </w:pPr>
      <w:r>
        <w:t>Timing drift blindness: Macro events (rate changes, system outages, seasonal patterns) shift payment timing distributions. An FI's local model drifts without knowing whether the shift is network-wide or institution-specific.</w:t>
      </w:r>
    </w:p>
    <w:p w14:paraId="01389876" w14:textId="77777777" w:rsidR="00F2029F" w:rsidRDefault="00000000">
      <w:pPr>
        <w:pStyle w:val="ListParagraph"/>
        <w:numPr>
          <w:ilvl w:val="0"/>
          <w:numId w:val="2"/>
        </w:numPr>
        <w:spacing w:before="40" w:after="40"/>
      </w:pPr>
      <w:r>
        <w:t>Duplicated model development: Every FI invests engineering resources to build substantially similar models from substantially similar data. The collective R&amp;D spend is enormous; the collective benefit is limited.</w:t>
      </w:r>
    </w:p>
    <w:p w14:paraId="733D9D56" w14:textId="77777777" w:rsidR="00F2029F" w:rsidRDefault="00000000">
      <w:r>
        <w:br w:type="page"/>
      </w:r>
    </w:p>
    <w:p w14:paraId="1DC9EE79" w14:textId="77777777" w:rsidR="00F2029F" w:rsidRDefault="00000000">
      <w:pPr>
        <w:pStyle w:val="Heading1"/>
      </w:pPr>
      <w:bookmarkStart w:id="4" w:name="_Toc223543504"/>
      <w:r>
        <w:lastRenderedPageBreak/>
        <w:t>3. Solution Architecture</w:t>
      </w:r>
      <w:bookmarkEnd w:id="4"/>
    </w:p>
    <w:p w14:paraId="66CE4B22" w14:textId="77777777" w:rsidR="00F2029F" w:rsidRDefault="00000000">
      <w:pPr>
        <w:spacing w:before="60" w:after="120"/>
      </w:pPr>
      <w:r>
        <w:t>The architecture consists of three integrated components: a medallion data lake that standardizes and progressively de-identifies payment event data; a foundation model backbone trained on data from the Feature Store / Science Layer; and a per-FI fine-tuning pipeline that adapts the backbone to each institution's specific payment patterns within their sovereign Platinum environment.</w:t>
      </w:r>
    </w:p>
    <w:p w14:paraId="13253384" w14:textId="77777777" w:rsidR="00F2029F" w:rsidRDefault="00000000">
      <w:pPr>
        <w:pStyle w:val="Heading2"/>
      </w:pPr>
      <w:bookmarkStart w:id="5" w:name="_Toc223543505"/>
      <w:r>
        <w:t>3.1 The Medallion Data Lake</w:t>
      </w:r>
      <w:bookmarkEnd w:id="5"/>
    </w:p>
    <w:p w14:paraId="15361277" w14:textId="77777777" w:rsidR="00F2029F" w:rsidRDefault="00000000">
      <w:pPr>
        <w:spacing w:before="60" w:after="120"/>
      </w:pPr>
      <w:r>
        <w:t>The data lake follows a five-layer medallion architecture: Bronze (raw), Silver (enriched and unified), and two distinct downstream branches — Gold (BI analytics) and the Feature Store / Science Layer (ML training) — both fed from Silver, with Platinum as the per-FI sovereign tenant space. Gold and the Feature Store are intentionally separate, each with its own privacy contract and consumer set.</w:t>
      </w:r>
    </w:p>
    <w:p w14:paraId="566F2BF5" w14:textId="77777777" w:rsidR="00F2029F" w:rsidRDefault="00000000">
      <w:pPr>
        <w:pStyle w:val="Heading3"/>
      </w:pPr>
      <w:bookmarkStart w:id="6" w:name="_Toc223543506"/>
      <w:r>
        <w:t>Bronze: Raw Ingest</w:t>
      </w:r>
      <w:bookmarkEnd w:id="6"/>
    </w:p>
    <w:p w14:paraId="01F62FD9" w14:textId="77777777" w:rsidR="00F2029F" w:rsidRDefault="00000000">
      <w:pPr>
        <w:spacing w:before="60" w:after="120"/>
      </w:pPr>
      <w:r>
        <w:t>Bronze stores every payment event exactly as emitted from the originating rail — NACHA records, ISO 20022 messages, Fedwire confirmations, RTP JSON payloads — with no transformation, normalization, or interpretation. Bronze is append-only and immutable: events are cryptographically hashed on ingest, and no modification is ever permitted.</w:t>
      </w:r>
    </w:p>
    <w:p w14:paraId="5C964324" w14:textId="77777777" w:rsidR="00F2029F" w:rsidRDefault="00000000">
      <w:pPr>
        <w:spacing w:before="60" w:after="120"/>
      </w:pPr>
      <w:r>
        <w:t xml:space="preserve">Physically, Bronze is partitioned by </w:t>
      </w:r>
      <w:proofErr w:type="spellStart"/>
      <w:r>
        <w:t>rail_type</w:t>
      </w:r>
      <w:proofErr w:type="spellEnd"/>
      <w:r>
        <w:t xml:space="preserve">, </w:t>
      </w:r>
      <w:proofErr w:type="spellStart"/>
      <w:r>
        <w:t>ingestion_date</w:t>
      </w:r>
      <w:proofErr w:type="spellEnd"/>
      <w:r>
        <w:t xml:space="preserve">, and </w:t>
      </w:r>
      <w:proofErr w:type="spellStart"/>
      <w:r>
        <w:t>fi_tenant_id</w:t>
      </w:r>
      <w:proofErr w:type="spellEnd"/>
      <w:r>
        <w:t>, with each FI's partition encrypted using FI-specific customer-managed keys (AWS KMS or Azure Key Vault). Jack Henry's platform has no access to the plaintext of any FI's Bronze data without explicit FI authorization. This is a cryptographic guarantee, not an access control policy.</w:t>
      </w:r>
    </w:p>
    <w:p w14:paraId="0B9A9579" w14:textId="77777777" w:rsidR="00F2029F" w:rsidRDefault="00000000">
      <w:pPr>
        <w:pStyle w:val="Heading3"/>
      </w:pPr>
      <w:bookmarkStart w:id="7" w:name="_Toc223543507"/>
      <w:r>
        <w:t>Silver: Enriched &amp; Unified</w:t>
      </w:r>
      <w:bookmarkEnd w:id="7"/>
    </w:p>
    <w:p w14:paraId="446501D2" w14:textId="77777777" w:rsidR="00F2029F" w:rsidRDefault="00000000">
      <w:pPr>
        <w:spacing w:before="60" w:after="120"/>
      </w:pPr>
      <w:r>
        <w:t>Silver transforms heterogeneous rail-native schemas into a unified canonical payment event model, applying entity resolution (mapping originator and destination identifiers to stable pseudonymous tokens across rails), computing time delta sequences (T₀ through T₆), and generating cross-rail behavioral features. Silver is the last layer at which the FI identifier is preserved in its original form.</w:t>
      </w:r>
    </w:p>
    <w:p w14:paraId="7203BE56" w14:textId="77777777" w:rsidR="00F2029F" w:rsidRDefault="00000000">
      <w:pPr>
        <w:spacing w:before="60" w:after="120"/>
      </w:pPr>
      <w:r>
        <w:t>The Silver transformation pipeline handles late-arriving events through ACID-compliant merge/</w:t>
      </w:r>
      <w:proofErr w:type="spellStart"/>
      <w:r>
        <w:t>upsert</w:t>
      </w:r>
      <w:proofErr w:type="spellEnd"/>
      <w:r>
        <w:t xml:space="preserve"> operations (Delta Lake or Apache Iceberg), ensuring that settlement confirmations, return notifications, and exception events that arrive hours or days after origination are correctly associated with their originating payment record. This is essential for accurate T₄–T₆ delta computation.</w:t>
      </w:r>
    </w:p>
    <w:p w14:paraId="14A9DC69" w14:textId="77777777" w:rsidR="00F2029F" w:rsidRDefault="00000000">
      <w:pPr>
        <w:pStyle w:val="Heading3"/>
      </w:pPr>
      <w:bookmarkStart w:id="8" w:name="_Toc223543508"/>
      <w:r>
        <w:t>Gold: BI Analytics Layer</w:t>
      </w:r>
      <w:bookmarkEnd w:id="8"/>
    </w:p>
    <w:p w14:paraId="537962AA" w14:textId="77777777" w:rsidR="00F2029F" w:rsidRDefault="00000000">
      <w:pPr>
        <w:spacing w:before="60" w:after="120"/>
      </w:pPr>
      <w:r>
        <w:t>Gold is the business intelligence layer. It contains aggregated, BI-ready metrics derived from Silver: rail performance statistics, settlement throughput trends, exception rates by rail and counterparty type, and FI-attributed analytics suitable for operational dashboards. Critically, Gold retains FI attribution so that per-FI BI views in Platinum can be derived from it.</w:t>
      </w:r>
    </w:p>
    <w:p w14:paraId="72CAE846" w14:textId="77777777" w:rsidR="00F2029F" w:rsidRDefault="00000000">
      <w:pPr>
        <w:spacing w:before="60" w:after="120"/>
      </w:pPr>
      <w:r>
        <w:t xml:space="preserve">Gold is intentionally NOT the training data source for the foundation model backbone. Gold stores rolled-up, aggregated metrics — not the row-level event sequences needed for model training. Keeping Gold as a pure </w:t>
      </w:r>
      <w:proofErr w:type="gramStart"/>
      <w:r>
        <w:t>BI layer</w:t>
      </w:r>
      <w:proofErr w:type="gramEnd"/>
      <w:r>
        <w:t xml:space="preserve"> maintains a clean separation of concerns and avoids conflating BI governance requirements with ML training data governance.</w:t>
      </w:r>
    </w:p>
    <w:p w14:paraId="6D3DC16F" w14:textId="77777777" w:rsidR="00F2029F" w:rsidRDefault="00000000">
      <w:pPr>
        <w:pStyle w:val="Heading3"/>
      </w:pPr>
      <w:bookmarkStart w:id="9" w:name="_Toc223543509"/>
      <w:r>
        <w:lastRenderedPageBreak/>
        <w:t>Feature Store / Science Layer</w:t>
      </w:r>
      <w:bookmarkEnd w:id="9"/>
    </w:p>
    <w:p w14:paraId="7532B0D6" w14:textId="77777777" w:rsidR="00F2029F" w:rsidRDefault="00000000">
      <w:pPr>
        <w:spacing w:before="60" w:after="120"/>
      </w:pPr>
      <w:r>
        <w:t>The Feature Store is the ML training data layer, fed directly from Silver rather than from Gold. This design is deliberate: Silver contains the unified canonical schema with full T₀–T₆ delta sequences at row level — exactly the signal the foundation model needs. Gold's aggregations would destroy the temporal granularity required for sequence modeling.</w:t>
      </w:r>
    </w:p>
    <w:p w14:paraId="34B70923" w14:textId="77777777" w:rsidR="00F2029F" w:rsidRDefault="00000000">
      <w:pPr>
        <w:spacing w:before="60" w:after="120"/>
      </w:pPr>
      <w:r>
        <w:t xml:space="preserve">At the Silver-to-Feature-Store boundary, the critical de-identification transformation </w:t>
      </w:r>
      <w:proofErr w:type="gramStart"/>
      <w:r>
        <w:t>occurs:</w:t>
      </w:r>
      <w:proofErr w:type="gramEnd"/>
      <w:r>
        <w:t xml:space="preserve"> direct identifiers are removed, pseudonymous tokens are further obfuscated, and differential privacy noise is injected. The output is a versioned collection of de-identified, row-level payment event feature vectors — one record per payment, with no FI-identifiable information retained.</w:t>
      </w:r>
    </w:p>
    <w:p w14:paraId="6CE6663E" w14:textId="77777777" w:rsidR="00F2029F" w:rsidRDefault="00000000">
      <w:pPr>
        <w:spacing w:before="60" w:after="120"/>
      </w:pPr>
      <w:r>
        <w:t xml:space="preserve">The Feature Store maintains point-in-time correctness and version tags on all training datasets, ensuring that every backbone training run is reproducible. </w:t>
      </w:r>
      <w:proofErr w:type="spellStart"/>
      <w:r>
        <w:t>MLflow</w:t>
      </w:r>
      <w:proofErr w:type="spellEnd"/>
      <w:r>
        <w:t xml:space="preserve"> handles experiment tracking, and a feature registry (e.g., Feast) maintains the schema contract between Silver and the Feature Store pipeline. This guarantees that the team can audit exactly which features and data version trained backbone v3 versus backbone v4.</w:t>
      </w:r>
    </w:p>
    <w:p w14:paraId="5DED5341" w14:textId="77777777" w:rsidR="00F2029F" w:rsidRDefault="00000000">
      <w:pPr>
        <w:pStyle w:val="Heading3"/>
      </w:pPr>
      <w:bookmarkStart w:id="10" w:name="_Toc223543510"/>
      <w:r>
        <w:t>Platinum: FI Sovereign Layer</w:t>
      </w:r>
      <w:bookmarkEnd w:id="10"/>
    </w:p>
    <w:p w14:paraId="749FD2AE" w14:textId="77777777" w:rsidR="00F2029F" w:rsidRDefault="00000000">
      <w:pPr>
        <w:spacing w:before="60" w:after="120"/>
      </w:pPr>
      <w:r>
        <w:t>Platinum is the per-FI sovereign space. Each FI's Platinum environment is physically isolated (dedicated VPC or tenant environment) and contains the FI's fine-tuned model weights, inference serving endpoints, FI-specific BI dashboards, and full-context enriched payment views (with FI identifiers restored from Silver). Platinum is the only layer where Jack Henry's platform does not have default access — the FI controls access grants explicitly.</w:t>
      </w:r>
    </w:p>
    <w:p w14:paraId="326256E5" w14:textId="77777777" w:rsidR="00F2029F" w:rsidRDefault="00000000">
      <w:pPr>
        <w:spacing w:before="60" w:after="120"/>
      </w:pPr>
      <w:r>
        <w:t>The fine-tuned model weights resident in Platinum are the FI's proprietary intellectual property. They are trained on FI-local data, deployed to FI-local infrastructure, and never transmitted to Jack Henry or any other FI.</w:t>
      </w:r>
    </w:p>
    <w:p w14:paraId="01AC686F" w14:textId="77777777" w:rsidR="00F2029F" w:rsidRDefault="00000000">
      <w:pPr>
        <w:pStyle w:val="Heading2"/>
      </w:pPr>
      <w:bookmarkStart w:id="11" w:name="_Toc223543511"/>
      <w:r>
        <w:t>3.2 The Payment Event Graph and Time Delta Model</w:t>
      </w:r>
      <w:bookmarkEnd w:id="11"/>
    </w:p>
    <w:p w14:paraId="4E2F2A9D" w14:textId="77777777" w:rsidR="00F2029F" w:rsidRDefault="00000000">
      <w:pPr>
        <w:spacing w:before="60" w:after="120"/>
      </w:pPr>
      <w:r>
        <w:t>The core innovation in the data model is treating each payment not as a single record but as a directed acyclic graph of lifecycle events with associated timestamps. Six event transitions define the standard payment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000"/>
        <w:gridCol w:w="3160"/>
      </w:tblGrid>
      <w:tr w:rsidR="00F2029F" w14:paraId="7B786F56" w14:textId="77777777">
        <w:tblPrEx>
          <w:tblCellMar>
            <w:top w:w="0" w:type="dxa"/>
            <w:bottom w:w="0" w:type="dxa"/>
          </w:tblCellMar>
        </w:tblPrEx>
        <w:tc>
          <w:tcPr>
            <w:tcW w:w="1200" w:type="dxa"/>
            <w:tcBorders>
              <w:top w:val="single" w:sz="4" w:space="0" w:color="1B3A6E"/>
              <w:left w:val="single" w:sz="4" w:space="0" w:color="1B3A6E"/>
              <w:bottom w:val="single" w:sz="4" w:space="0" w:color="1B3A6E"/>
              <w:right w:val="single" w:sz="4" w:space="0" w:color="1B3A6E"/>
            </w:tcBorders>
            <w:shd w:val="clear" w:color="auto" w:fill="1B3A6E"/>
            <w:tcMar>
              <w:top w:w="80" w:type="dxa"/>
              <w:left w:w="120" w:type="dxa"/>
              <w:bottom w:w="80" w:type="dxa"/>
              <w:right w:w="120" w:type="dxa"/>
            </w:tcMar>
            <w:vAlign w:val="center"/>
          </w:tcPr>
          <w:p w14:paraId="02829D09" w14:textId="77777777" w:rsidR="00F2029F" w:rsidRDefault="00000000">
            <w:r>
              <w:rPr>
                <w:b/>
                <w:bCs/>
                <w:color w:val="FFFFFF"/>
                <w:sz w:val="20"/>
                <w:szCs w:val="20"/>
              </w:rPr>
              <w:t>Delta</w:t>
            </w:r>
          </w:p>
        </w:tc>
        <w:tc>
          <w:tcPr>
            <w:tcW w:w="2000" w:type="dxa"/>
            <w:tcBorders>
              <w:top w:val="single" w:sz="4" w:space="0" w:color="1B3A6E"/>
              <w:left w:val="single" w:sz="4" w:space="0" w:color="1B3A6E"/>
              <w:bottom w:val="single" w:sz="4" w:space="0" w:color="1B3A6E"/>
              <w:right w:val="single" w:sz="4" w:space="0" w:color="1B3A6E"/>
            </w:tcBorders>
            <w:shd w:val="clear" w:color="auto" w:fill="1B3A6E"/>
            <w:tcMar>
              <w:top w:w="80" w:type="dxa"/>
              <w:left w:w="120" w:type="dxa"/>
              <w:bottom w:w="80" w:type="dxa"/>
              <w:right w:w="120" w:type="dxa"/>
            </w:tcMar>
            <w:vAlign w:val="center"/>
          </w:tcPr>
          <w:p w14:paraId="67CF1E23" w14:textId="77777777" w:rsidR="00F2029F" w:rsidRDefault="00000000">
            <w:r>
              <w:rPr>
                <w:b/>
                <w:bCs/>
                <w:color w:val="FFFFFF"/>
                <w:sz w:val="20"/>
                <w:szCs w:val="20"/>
              </w:rPr>
              <w:t>Semantic</w:t>
            </w:r>
          </w:p>
        </w:tc>
        <w:tc>
          <w:tcPr>
            <w:tcW w:w="3000" w:type="dxa"/>
            <w:tcBorders>
              <w:top w:val="single" w:sz="4" w:space="0" w:color="1B3A6E"/>
              <w:left w:val="single" w:sz="4" w:space="0" w:color="1B3A6E"/>
              <w:bottom w:val="single" w:sz="4" w:space="0" w:color="1B3A6E"/>
              <w:right w:val="single" w:sz="4" w:space="0" w:color="1B3A6E"/>
            </w:tcBorders>
            <w:shd w:val="clear" w:color="auto" w:fill="1B3A6E"/>
            <w:tcMar>
              <w:top w:w="80" w:type="dxa"/>
              <w:left w:w="120" w:type="dxa"/>
              <w:bottom w:w="80" w:type="dxa"/>
              <w:right w:w="120" w:type="dxa"/>
            </w:tcMar>
            <w:vAlign w:val="center"/>
          </w:tcPr>
          <w:p w14:paraId="0FC40394" w14:textId="77777777" w:rsidR="00F2029F" w:rsidRDefault="00000000">
            <w:r>
              <w:rPr>
                <w:b/>
                <w:bCs/>
                <w:color w:val="FFFFFF"/>
                <w:sz w:val="20"/>
                <w:szCs w:val="20"/>
              </w:rPr>
              <w:t>Normal Range</w:t>
            </w:r>
          </w:p>
        </w:tc>
        <w:tc>
          <w:tcPr>
            <w:tcW w:w="3160" w:type="dxa"/>
            <w:tcBorders>
              <w:top w:val="single" w:sz="4" w:space="0" w:color="1B3A6E"/>
              <w:left w:val="single" w:sz="4" w:space="0" w:color="1B3A6E"/>
              <w:bottom w:val="single" w:sz="4" w:space="0" w:color="1B3A6E"/>
              <w:right w:val="single" w:sz="4" w:space="0" w:color="1B3A6E"/>
            </w:tcBorders>
            <w:shd w:val="clear" w:color="auto" w:fill="1B3A6E"/>
            <w:tcMar>
              <w:top w:w="80" w:type="dxa"/>
              <w:left w:w="120" w:type="dxa"/>
              <w:bottom w:w="80" w:type="dxa"/>
              <w:right w:w="120" w:type="dxa"/>
            </w:tcMar>
            <w:vAlign w:val="center"/>
          </w:tcPr>
          <w:p w14:paraId="6DCA0D98" w14:textId="77777777" w:rsidR="00F2029F" w:rsidRDefault="00000000">
            <w:r>
              <w:rPr>
                <w:b/>
                <w:bCs/>
                <w:color w:val="FFFFFF"/>
                <w:sz w:val="20"/>
                <w:szCs w:val="20"/>
              </w:rPr>
              <w:t>Anomaly Signal</w:t>
            </w:r>
          </w:p>
        </w:tc>
      </w:tr>
      <w:tr w:rsidR="00F2029F" w14:paraId="6E7BB9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6541E77" w14:textId="77777777" w:rsidR="00F2029F" w:rsidRDefault="00000000">
            <w:r>
              <w:rPr>
                <w:b/>
                <w:bCs/>
                <w:sz w:val="20"/>
                <w:szCs w:val="20"/>
              </w:rPr>
              <w:t>Δ₁ = T₁−T₀</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421AE8B" w14:textId="77777777" w:rsidR="00F2029F" w:rsidRDefault="00000000">
            <w:r>
              <w:rPr>
                <w:sz w:val="20"/>
                <w:szCs w:val="20"/>
              </w:rPr>
              <w:t>Origination → validation</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B31F93D" w14:textId="77777777" w:rsidR="00F2029F" w:rsidRDefault="00000000">
            <w:r>
              <w:rPr>
                <w:sz w:val="20"/>
                <w:szCs w:val="20"/>
              </w:rPr>
              <w:t>ACH: ~2s | RTP: ~50ms | Wire: ~30s</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73384D5" w14:textId="77777777" w:rsidR="00F2029F" w:rsidRDefault="00000000">
            <w:r>
              <w:rPr>
                <w:sz w:val="20"/>
                <w:szCs w:val="20"/>
              </w:rPr>
              <w:t>Slow validation on fast rail</w:t>
            </w:r>
          </w:p>
        </w:tc>
      </w:tr>
      <w:tr w:rsidR="00F2029F" w14:paraId="2CE038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9749DB" w14:textId="77777777" w:rsidR="00F2029F" w:rsidRDefault="00000000">
            <w:r>
              <w:rPr>
                <w:b/>
                <w:bCs/>
                <w:sz w:val="20"/>
                <w:szCs w:val="20"/>
              </w:rPr>
              <w:t>Δ₂ = T₂−T₁</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F90AF0" w14:textId="77777777" w:rsidR="00F2029F" w:rsidRDefault="00000000">
            <w:r>
              <w:rPr>
                <w:sz w:val="20"/>
                <w:szCs w:val="20"/>
              </w:rPr>
              <w:t>Validation → rail ingest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254B65" w14:textId="77777777" w:rsidR="00F2029F" w:rsidRDefault="00000000">
            <w:r>
              <w:rPr>
                <w:sz w:val="20"/>
                <w:szCs w:val="20"/>
              </w:rPr>
              <w:t>Rail-specific; ACH batch windows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CA09A1" w14:textId="77777777" w:rsidR="00F2029F" w:rsidRDefault="00000000">
            <w:r>
              <w:rPr>
                <w:sz w:val="20"/>
                <w:szCs w:val="20"/>
              </w:rPr>
              <w:t>Ingest outside batch window</w:t>
            </w:r>
          </w:p>
        </w:tc>
      </w:tr>
      <w:tr w:rsidR="00F2029F" w14:paraId="189D71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0D9377A" w14:textId="77777777" w:rsidR="00F2029F" w:rsidRDefault="00000000">
            <w:r>
              <w:rPr>
                <w:b/>
                <w:bCs/>
                <w:sz w:val="20"/>
                <w:szCs w:val="20"/>
              </w:rPr>
              <w:t>Δ₃ = T₃−T₂</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831FE37" w14:textId="77777777" w:rsidR="00F2029F" w:rsidRDefault="00000000">
            <w:r>
              <w:rPr>
                <w:sz w:val="20"/>
                <w:szCs w:val="20"/>
              </w:rPr>
              <w:t>Ingest → clearing/ack</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0F254FA" w14:textId="77777777" w:rsidR="00F2029F" w:rsidRDefault="00000000">
            <w:r>
              <w:rPr>
                <w:sz w:val="20"/>
                <w:szCs w:val="20"/>
              </w:rPr>
              <w:t xml:space="preserve">RTP: ~1s | ACH: 2–48 </w:t>
            </w:r>
            <w:proofErr w:type="spellStart"/>
            <w:r>
              <w:rPr>
                <w:sz w:val="20"/>
                <w:szCs w:val="20"/>
              </w:rPr>
              <w:t>hrs</w:t>
            </w:r>
            <w:proofErr w:type="spellEnd"/>
            <w:r>
              <w:rPr>
                <w:sz w:val="20"/>
                <w:szCs w:val="20"/>
              </w:rPr>
              <w:t xml:space="preserve"> | Wire: &lt;1 </w:t>
            </w:r>
            <w:proofErr w:type="spellStart"/>
            <w:r>
              <w:rPr>
                <w:sz w:val="20"/>
                <w:szCs w:val="20"/>
              </w:rPr>
              <w:t>hr</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BB2E238" w14:textId="77777777" w:rsidR="00F2029F" w:rsidRDefault="00000000">
            <w:r>
              <w:rPr>
                <w:sz w:val="20"/>
                <w:szCs w:val="20"/>
              </w:rPr>
              <w:t>Clearing timeout or counterparty delay</w:t>
            </w:r>
          </w:p>
        </w:tc>
      </w:tr>
      <w:tr w:rsidR="00F2029F" w14:paraId="412FB0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1E28D9" w14:textId="77777777" w:rsidR="00F2029F" w:rsidRDefault="00000000">
            <w:r>
              <w:rPr>
                <w:b/>
                <w:bCs/>
                <w:sz w:val="20"/>
                <w:szCs w:val="20"/>
              </w:rPr>
              <w:t>Δ₄ = T₄−T₃</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11FF78" w14:textId="77777777" w:rsidR="00F2029F" w:rsidRDefault="00000000">
            <w:r>
              <w:rPr>
                <w:sz w:val="20"/>
                <w:szCs w:val="20"/>
              </w:rPr>
              <w:t>Clearing → settlement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829B59" w14:textId="77777777" w:rsidR="00F2029F" w:rsidRDefault="00000000">
            <w:proofErr w:type="spellStart"/>
            <w:r>
              <w:rPr>
                <w:sz w:val="20"/>
                <w:szCs w:val="20"/>
              </w:rPr>
              <w:t>FedNow</w:t>
            </w:r>
            <w:proofErr w:type="spellEnd"/>
            <w:r>
              <w:rPr>
                <w:sz w:val="20"/>
                <w:szCs w:val="20"/>
              </w:rPr>
              <w:t>: instant | ACH: same/next day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8E8FCE" w14:textId="77777777" w:rsidR="00F2029F" w:rsidRDefault="00000000">
            <w:r>
              <w:rPr>
                <w:sz w:val="20"/>
                <w:szCs w:val="20"/>
              </w:rPr>
              <w:t>Settlement lag → liquidity stress</w:t>
            </w:r>
          </w:p>
        </w:tc>
      </w:tr>
      <w:tr w:rsidR="00F2029F" w14:paraId="3C5218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D809604" w14:textId="77777777" w:rsidR="00F2029F" w:rsidRDefault="00000000">
            <w:r>
              <w:rPr>
                <w:b/>
                <w:bCs/>
                <w:sz w:val="20"/>
                <w:szCs w:val="20"/>
              </w:rPr>
              <w:t>Δ₅ = T₅−T₄</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9080E5E" w14:textId="77777777" w:rsidR="00F2029F" w:rsidRDefault="00000000">
            <w:r>
              <w:rPr>
                <w:sz w:val="20"/>
                <w:szCs w:val="20"/>
              </w:rPr>
              <w:t>Settlement → destination post</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51BE9BE" w14:textId="77777777" w:rsidR="00F2029F" w:rsidRDefault="00000000">
            <w:proofErr w:type="gramStart"/>
            <w:r>
              <w:rPr>
                <w:sz w:val="20"/>
                <w:szCs w:val="20"/>
              </w:rPr>
              <w:t>Typically</w:t>
            </w:r>
            <w:proofErr w:type="gramEnd"/>
            <w:r>
              <w:rPr>
                <w:sz w:val="20"/>
                <w:szCs w:val="20"/>
              </w:rPr>
              <w:t xml:space="preserve"> &lt;30s on modern rails</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AE2DD57" w14:textId="77777777" w:rsidR="00F2029F" w:rsidRDefault="00000000">
            <w:r>
              <w:rPr>
                <w:sz w:val="20"/>
                <w:szCs w:val="20"/>
              </w:rPr>
              <w:t>Posting delay → system anomaly</w:t>
            </w:r>
          </w:p>
        </w:tc>
      </w:tr>
      <w:tr w:rsidR="00F2029F" w14:paraId="5482F6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8BE51A" w14:textId="77777777" w:rsidR="00F2029F" w:rsidRDefault="00000000">
            <w:r>
              <w:rPr>
                <w:b/>
                <w:bCs/>
                <w:sz w:val="20"/>
                <w:szCs w:val="20"/>
              </w:rPr>
              <w:t>Δ₆ (if present)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E0D322" w14:textId="77777777" w:rsidR="00F2029F" w:rsidRDefault="00000000">
            <w:r>
              <w:rPr>
                <w:sz w:val="20"/>
                <w:szCs w:val="20"/>
              </w:rPr>
              <w:t>Time to return/exception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10C480" w14:textId="77777777" w:rsidR="00F2029F" w:rsidRDefault="00000000">
            <w:r>
              <w:rPr>
                <w:sz w:val="20"/>
                <w:szCs w:val="20"/>
              </w:rPr>
              <w:t>ACH return window: 2 days (R-codes)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4F33CD" w14:textId="77777777" w:rsidR="00F2029F" w:rsidRDefault="00000000">
            <w:r>
              <w:rPr>
                <w:sz w:val="20"/>
                <w:szCs w:val="20"/>
              </w:rPr>
              <w:t>Fast return → fraud indicator</w:t>
            </w:r>
          </w:p>
        </w:tc>
      </w:tr>
    </w:tbl>
    <w:p w14:paraId="3F2500A6" w14:textId="77777777" w:rsidR="00F2029F" w:rsidRDefault="00F2029F">
      <w:pPr>
        <w:spacing w:before="120"/>
      </w:pPr>
    </w:p>
    <w:p w14:paraId="0996AA30" w14:textId="77777777" w:rsidR="00F2029F" w:rsidRDefault="00000000">
      <w:pPr>
        <w:spacing w:before="60" w:after="120"/>
      </w:pPr>
      <w:r>
        <w:lastRenderedPageBreak/>
        <w:t>Each event is tokenized as a tuple of (</w:t>
      </w:r>
      <w:proofErr w:type="spellStart"/>
      <w:r>
        <w:t>event_type</w:t>
      </w:r>
      <w:proofErr w:type="spellEnd"/>
      <w:r>
        <w:t xml:space="preserve">, </w:t>
      </w:r>
      <w:proofErr w:type="spellStart"/>
      <w:r>
        <w:t>rail_identifier</w:t>
      </w:r>
      <w:proofErr w:type="spellEnd"/>
      <w:r>
        <w:t xml:space="preserve">, </w:t>
      </w:r>
      <w:proofErr w:type="spellStart"/>
      <w:r>
        <w:t>direction_flag</w:t>
      </w:r>
      <w:proofErr w:type="spellEnd"/>
      <w:r>
        <w:t xml:space="preserve">, </w:t>
      </w:r>
      <w:proofErr w:type="spellStart"/>
      <w:r>
        <w:t>normalized_delta</w:t>
      </w:r>
      <w:proofErr w:type="spellEnd"/>
      <w:r>
        <w:t xml:space="preserve">, </w:t>
      </w:r>
      <w:proofErr w:type="spellStart"/>
      <w:r>
        <w:t>amount_bucket</w:t>
      </w:r>
      <w:proofErr w:type="spellEnd"/>
      <w:r>
        <w:t xml:space="preserve">, </w:t>
      </w:r>
      <w:proofErr w:type="spellStart"/>
      <w:r>
        <w:t>counterparty_pseudonymous_hash</w:t>
      </w:r>
      <w:proofErr w:type="spellEnd"/>
      <w:r>
        <w:t>). Critically, no PII is required: the model learns from the temporal structure and relative magnitudes of these tuples, not from the identity of the participants.</w:t>
      </w:r>
    </w:p>
    <w:p w14:paraId="740BAAA8" w14:textId="77777777" w:rsidR="00F2029F" w:rsidRDefault="00000000">
      <w:pPr>
        <w:pStyle w:val="Heading2"/>
      </w:pPr>
      <w:bookmarkStart w:id="12" w:name="_Toc223543512"/>
      <w:r>
        <w:t>3.3 Foundation Model Architecture: Backbone and Task Heads</w:t>
      </w:r>
      <w:bookmarkEnd w:id="12"/>
    </w:p>
    <w:p w14:paraId="7E9EEA36" w14:textId="77777777" w:rsidR="00F2029F" w:rsidRDefault="00000000">
      <w:pPr>
        <w:spacing w:before="60" w:after="120"/>
      </w:pPr>
      <w:r>
        <w:t xml:space="preserve">The foundation model follows a two-tier architecture analogous to large language models: a large pre-trained backbone that encodes general knowledge about payment event dynamics, and lightweight task-specific heads fine-tuned for </w:t>
      </w:r>
      <w:proofErr w:type="gramStart"/>
      <w:r>
        <w:t>particular prediction</w:t>
      </w:r>
      <w:proofErr w:type="gramEnd"/>
      <w:r>
        <w:t xml:space="preserve"> objectives.</w:t>
      </w:r>
    </w:p>
    <w:p w14:paraId="318C0B22" w14:textId="77777777" w:rsidR="00F2029F" w:rsidRDefault="00000000">
      <w:pPr>
        <w:pStyle w:val="Heading3"/>
      </w:pPr>
      <w:bookmarkStart w:id="13" w:name="_Toc223543513"/>
      <w:r>
        <w:t>The Backbone</w:t>
      </w:r>
      <w:bookmarkEnd w:id="13"/>
    </w:p>
    <w:p w14:paraId="6493F862" w14:textId="77777777" w:rsidR="00F2029F" w:rsidRDefault="00000000">
      <w:pPr>
        <w:spacing w:before="60" w:after="120"/>
      </w:pPr>
      <w:r>
        <w:t xml:space="preserve">The backbone is a transformer-based sequence model pre-trained on the Feature Store / Science Layer using a masked event prediction </w:t>
      </w:r>
      <w:proofErr w:type="gramStart"/>
      <w:r>
        <w:t>objective:</w:t>
      </w:r>
      <w:proofErr w:type="gramEnd"/>
      <w:r>
        <w:t xml:space="preserve"> given a partial payment event sequence (T₀ through T₃), predict the remaining delta sequence (T₄ through T₆). </w:t>
      </w:r>
      <w:proofErr w:type="gramStart"/>
      <w:r>
        <w:t>This objective forces</w:t>
      </w:r>
      <w:proofErr w:type="gramEnd"/>
      <w:r>
        <w:t xml:space="preserve"> the model to internalize the causal structure of payment flows — learning not just that ACH payments take two days to settle, but the conditional distribution of Δ₄ given Δ₁ through Δ₃ and the rail context.</w:t>
      </w:r>
    </w:p>
    <w:p w14:paraId="1BACAA0F" w14:textId="77777777" w:rsidR="00F2029F" w:rsidRDefault="00000000">
      <w:pPr>
        <w:spacing w:before="60" w:after="120"/>
      </w:pPr>
      <w:r>
        <w:t>Pre-training is performed on Feature Store data centrally (for Contributor FIs) or via the federated learning protocol (for Federated FIs). The resulting backbone encodes the collective payment intelligence of all participating institutions across all rails.</w:t>
      </w:r>
    </w:p>
    <w:p w14:paraId="4A04CEDA" w14:textId="77777777" w:rsidR="00F2029F" w:rsidRDefault="00000000">
      <w:pPr>
        <w:pStyle w:val="Heading3"/>
      </w:pPr>
      <w:bookmarkStart w:id="14" w:name="_Toc223543514"/>
      <w:r>
        <w:t>Task-Specific Heads</w:t>
      </w:r>
      <w:bookmarkEnd w:id="14"/>
    </w:p>
    <w:p w14:paraId="35804D06" w14:textId="77777777" w:rsidR="00F2029F" w:rsidRDefault="00000000">
      <w:pPr>
        <w:spacing w:before="60" w:after="120"/>
      </w:pPr>
      <w:r>
        <w:t xml:space="preserve">On top of the frozen or </w:t>
      </w:r>
      <w:proofErr w:type="gramStart"/>
      <w:r>
        <w:t>partially-frozen</w:t>
      </w:r>
      <w:proofErr w:type="gramEnd"/>
      <w:r>
        <w:t xml:space="preserve"> backbone, lightweight task heads are trained for specific prediction objectives within each FI's Platinum environment:</w:t>
      </w:r>
    </w:p>
    <w:p w14:paraId="1617B221" w14:textId="77777777" w:rsidR="00F2029F" w:rsidRDefault="00000000">
      <w:pPr>
        <w:pStyle w:val="ListParagraph"/>
        <w:numPr>
          <w:ilvl w:val="0"/>
          <w:numId w:val="2"/>
        </w:numPr>
        <w:spacing w:before="40" w:after="40"/>
      </w:pPr>
      <w:r>
        <w:t>Fraud detection: binary classifier on the payment event sequence, trained on FI-labeled fraud examples</w:t>
      </w:r>
    </w:p>
    <w:p w14:paraId="26195263" w14:textId="77777777" w:rsidR="00F2029F" w:rsidRDefault="00000000">
      <w:pPr>
        <w:pStyle w:val="ListParagraph"/>
        <w:numPr>
          <w:ilvl w:val="0"/>
          <w:numId w:val="2"/>
        </w:numPr>
        <w:spacing w:before="40" w:after="40"/>
      </w:pPr>
      <w:r>
        <w:t xml:space="preserve">Return </w:t>
      </w:r>
      <w:proofErr w:type="gramStart"/>
      <w:r>
        <w:t>prediction:</w:t>
      </w:r>
      <w:proofErr w:type="gramEnd"/>
      <w:r>
        <w:t xml:space="preserve"> predicts probability of T₆ occurrence before T₅, useful for pre-settlement risk management</w:t>
      </w:r>
    </w:p>
    <w:p w14:paraId="347A74DC" w14:textId="77777777" w:rsidR="00F2029F" w:rsidRDefault="00000000">
      <w:pPr>
        <w:pStyle w:val="ListParagraph"/>
        <w:numPr>
          <w:ilvl w:val="0"/>
          <w:numId w:val="2"/>
        </w:numPr>
        <w:spacing w:before="40" w:after="40"/>
      </w:pPr>
      <w:r>
        <w:t>Liquidity forecasting: regression head predicting intraday net settlement exposure from morning payment flow patterns</w:t>
      </w:r>
    </w:p>
    <w:p w14:paraId="58E1EE0B" w14:textId="77777777" w:rsidR="00F2029F" w:rsidRDefault="00000000">
      <w:pPr>
        <w:pStyle w:val="ListParagraph"/>
        <w:numPr>
          <w:ilvl w:val="0"/>
          <w:numId w:val="2"/>
        </w:numPr>
        <w:spacing w:before="40" w:after="40"/>
      </w:pPr>
      <w:r>
        <w:t>Operational anomaly detection: unsupervised or semi-supervised anomaly scorer on the delta sequence</w:t>
      </w:r>
    </w:p>
    <w:p w14:paraId="6E75F8D4" w14:textId="77777777" w:rsidR="00F2029F" w:rsidRDefault="00F2029F">
      <w:pPr>
        <w:spacing w:before="120"/>
      </w:pPr>
    </w:p>
    <w:p w14:paraId="3ED7DF3E" w14:textId="77777777" w:rsidR="00F2029F" w:rsidRDefault="00000000">
      <w:pPr>
        <w:spacing w:before="60" w:after="120"/>
      </w:pPr>
      <w:r>
        <w:t>Because the backbone already captures the cross-rail timing structure, these task heads require relatively small amounts of labeled training data — a significant advantage for FIs with limited historical fraud labels or rare event types.</w:t>
      </w:r>
    </w:p>
    <w:p w14:paraId="7A9C1B85" w14:textId="77777777" w:rsidR="00F2029F" w:rsidRDefault="00000000">
      <w:r>
        <w:br w:type="page"/>
      </w:r>
    </w:p>
    <w:p w14:paraId="51D8C0E4" w14:textId="77777777" w:rsidR="00F2029F" w:rsidRDefault="00000000">
      <w:pPr>
        <w:pStyle w:val="Heading1"/>
      </w:pPr>
      <w:bookmarkStart w:id="15" w:name="_Toc223543515"/>
      <w:r>
        <w:lastRenderedPageBreak/>
        <w:t>4. Three Participation Tiers</w:t>
      </w:r>
      <w:bookmarkEnd w:id="15"/>
    </w:p>
    <w:p w14:paraId="036CC32C" w14:textId="77777777" w:rsidR="00F2029F" w:rsidRDefault="00000000">
      <w:pPr>
        <w:spacing w:before="60" w:after="120"/>
      </w:pPr>
      <w:r>
        <w:t>The architecture supports three distinct participation modes, allowing each FI to engage at the level of data sharing and privacy that fits its regulatory environment, security posture, and risk appetite. The tiers are designed to be upgradeable — an FI can begin as an Observer and migrate to Federated or Contributor as comfort and value are established.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F2029F" w14:paraId="46FECB13" w14:textId="77777777">
        <w:tblPrEx>
          <w:tblCellMar>
            <w:top w:w="0" w:type="dxa"/>
            <w:bottom w:w="0" w:type="dxa"/>
          </w:tblCellMar>
        </w:tblPrEx>
        <w:tc>
          <w:tcPr>
            <w:tcW w:w="1800" w:type="dxa"/>
            <w:tcBorders>
              <w:top w:val="single" w:sz="4" w:space="0" w:color="1B3A6E"/>
              <w:left w:val="single" w:sz="4" w:space="0" w:color="1B3A6E"/>
              <w:bottom w:val="single" w:sz="4" w:space="0" w:color="1B3A6E"/>
              <w:right w:val="single" w:sz="4" w:space="0" w:color="1B3A6E"/>
            </w:tcBorders>
            <w:shd w:val="clear" w:color="auto" w:fill="1B3A6E"/>
            <w:tcMar>
              <w:top w:w="80" w:type="dxa"/>
              <w:left w:w="120" w:type="dxa"/>
              <w:bottom w:w="80" w:type="dxa"/>
              <w:right w:w="120" w:type="dxa"/>
            </w:tcMar>
            <w:vAlign w:val="center"/>
          </w:tcPr>
          <w:p w14:paraId="7E882860" w14:textId="77777777" w:rsidR="00F2029F" w:rsidRDefault="00F2029F"/>
        </w:tc>
        <w:tc>
          <w:tcPr>
            <w:tcW w:w="2520" w:type="dxa"/>
            <w:tcBorders>
              <w:top w:val="single" w:sz="4" w:space="0" w:color="1B3A6E"/>
              <w:left w:val="single" w:sz="4" w:space="0" w:color="1B3A6E"/>
              <w:bottom w:val="single" w:sz="4" w:space="0" w:color="1B3A6E"/>
              <w:right w:val="single" w:sz="4" w:space="0" w:color="1B3A6E"/>
            </w:tcBorders>
            <w:shd w:val="clear" w:color="auto" w:fill="27AE60"/>
            <w:tcMar>
              <w:top w:w="80" w:type="dxa"/>
              <w:left w:w="120" w:type="dxa"/>
              <w:bottom w:w="80" w:type="dxa"/>
              <w:right w:w="120" w:type="dxa"/>
            </w:tcMar>
            <w:vAlign w:val="center"/>
          </w:tcPr>
          <w:p w14:paraId="4881F052" w14:textId="77777777" w:rsidR="00F2029F" w:rsidRDefault="00000000">
            <w:r>
              <w:rPr>
                <w:b/>
                <w:bCs/>
                <w:color w:val="FFFFFF"/>
                <w:sz w:val="20"/>
                <w:szCs w:val="20"/>
              </w:rPr>
              <w:t>CONTRIBUTOR</w:t>
            </w:r>
          </w:p>
        </w:tc>
        <w:tc>
          <w:tcPr>
            <w:tcW w:w="2520" w:type="dxa"/>
            <w:tcBorders>
              <w:top w:val="single" w:sz="4" w:space="0" w:color="1B3A6E"/>
              <w:left w:val="single" w:sz="4" w:space="0" w:color="1B3A6E"/>
              <w:bottom w:val="single" w:sz="4" w:space="0" w:color="1B3A6E"/>
              <w:right w:val="single" w:sz="4" w:space="0" w:color="1B3A6E"/>
            </w:tcBorders>
            <w:shd w:val="clear" w:color="auto" w:fill="2980B9"/>
            <w:tcMar>
              <w:top w:w="80" w:type="dxa"/>
              <w:left w:w="120" w:type="dxa"/>
              <w:bottom w:w="80" w:type="dxa"/>
              <w:right w:w="120" w:type="dxa"/>
            </w:tcMar>
            <w:vAlign w:val="center"/>
          </w:tcPr>
          <w:p w14:paraId="3BED66F6" w14:textId="77777777" w:rsidR="00F2029F" w:rsidRDefault="00000000">
            <w:r>
              <w:rPr>
                <w:b/>
                <w:bCs/>
                <w:color w:val="FFFFFF"/>
                <w:sz w:val="20"/>
                <w:szCs w:val="20"/>
              </w:rPr>
              <w:t>FEDERATED</w:t>
            </w:r>
          </w:p>
        </w:tc>
        <w:tc>
          <w:tcPr>
            <w:tcW w:w="2520" w:type="dxa"/>
            <w:tcBorders>
              <w:top w:val="single" w:sz="4" w:space="0" w:color="1B3A6E"/>
              <w:left w:val="single" w:sz="4" w:space="0" w:color="1B3A6E"/>
              <w:bottom w:val="single" w:sz="4" w:space="0" w:color="1B3A6E"/>
              <w:right w:val="single" w:sz="4" w:space="0" w:color="1B3A6E"/>
            </w:tcBorders>
            <w:shd w:val="clear" w:color="auto" w:fill="8E44AD"/>
            <w:tcMar>
              <w:top w:w="80" w:type="dxa"/>
              <w:left w:w="120" w:type="dxa"/>
              <w:bottom w:w="80" w:type="dxa"/>
              <w:right w:w="120" w:type="dxa"/>
            </w:tcMar>
            <w:vAlign w:val="center"/>
          </w:tcPr>
          <w:p w14:paraId="1D93B7CC" w14:textId="77777777" w:rsidR="00F2029F" w:rsidRDefault="00000000">
            <w:r>
              <w:rPr>
                <w:b/>
                <w:bCs/>
                <w:color w:val="FFFFFF"/>
                <w:sz w:val="20"/>
                <w:szCs w:val="20"/>
              </w:rPr>
              <w:t>OBSERVER</w:t>
            </w:r>
          </w:p>
        </w:tc>
      </w:tr>
      <w:tr w:rsidR="00F2029F" w14:paraId="4082FE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7C17A0F" w14:textId="77777777" w:rsidR="00F2029F" w:rsidRDefault="00000000">
            <w:r>
              <w:rPr>
                <w:b/>
                <w:bCs/>
                <w:sz w:val="20"/>
                <w:szCs w:val="20"/>
              </w:rPr>
              <w:t>Backbone access</w:t>
            </w:r>
          </w:p>
        </w:tc>
        <w:tc>
          <w:tcPr>
            <w:tcW w:w="252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4746958" w14:textId="77777777" w:rsidR="00F2029F" w:rsidRDefault="00000000">
            <w:r>
              <w:rPr>
                <w:b/>
                <w:bCs/>
                <w:color w:val="1A7A3C"/>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0FA0AEB" w14:textId="77777777" w:rsidR="00F2029F" w:rsidRDefault="00000000">
            <w:r>
              <w:rPr>
                <w:b/>
                <w:bCs/>
                <w:color w:val="1A7A3C"/>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381AAD2" w14:textId="77777777" w:rsidR="00F2029F" w:rsidRDefault="00000000">
            <w:r>
              <w:rPr>
                <w:b/>
                <w:bCs/>
                <w:color w:val="1A7A3C"/>
                <w:sz w:val="20"/>
                <w:szCs w:val="20"/>
              </w:rPr>
              <w:t>✓</w:t>
            </w:r>
          </w:p>
        </w:tc>
      </w:tr>
      <w:tr w:rsidR="00F2029F" w14:paraId="4F1357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74CC84" w14:textId="77777777" w:rsidR="00F2029F" w:rsidRDefault="00000000">
            <w:r>
              <w:rPr>
                <w:b/>
                <w:bCs/>
                <w:sz w:val="20"/>
                <w:szCs w:val="20"/>
              </w:rPr>
              <w:t>Per-FI fine-tuned head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D6D4F2" w14:textId="77777777" w:rsidR="00F2029F" w:rsidRDefault="00000000">
            <w:r>
              <w:rPr>
                <w:b/>
                <w:bCs/>
                <w:color w:val="1A7A3C"/>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B41E74" w14:textId="77777777" w:rsidR="00F2029F" w:rsidRDefault="00000000">
            <w:r>
              <w:rPr>
                <w:b/>
                <w:bCs/>
                <w:color w:val="1A7A3C"/>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014079" w14:textId="77777777" w:rsidR="00F2029F" w:rsidRDefault="00000000">
            <w:r>
              <w:rPr>
                <w:b/>
                <w:bCs/>
                <w:color w:val="CC3333"/>
                <w:sz w:val="20"/>
                <w:szCs w:val="20"/>
              </w:rPr>
              <w:t>✗</w:t>
            </w:r>
          </w:p>
        </w:tc>
      </w:tr>
      <w:tr w:rsidR="00F2029F" w14:paraId="24EFC8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405E373" w14:textId="77777777" w:rsidR="00F2029F" w:rsidRDefault="00000000">
            <w:r>
              <w:rPr>
                <w:b/>
                <w:bCs/>
                <w:sz w:val="20"/>
                <w:szCs w:val="20"/>
              </w:rPr>
              <w:t>Data leaves FI boundary</w:t>
            </w:r>
          </w:p>
        </w:tc>
        <w:tc>
          <w:tcPr>
            <w:tcW w:w="252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0F38007" w14:textId="77777777" w:rsidR="00F2029F" w:rsidRDefault="00000000">
            <w:r>
              <w:rPr>
                <w:sz w:val="20"/>
                <w:szCs w:val="20"/>
              </w:rPr>
              <w:t>Anon. embeddings</w:t>
            </w:r>
          </w:p>
        </w:tc>
        <w:tc>
          <w:tcPr>
            <w:tcW w:w="252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88370CB" w14:textId="77777777" w:rsidR="00F2029F" w:rsidRDefault="00000000">
            <w:r>
              <w:rPr>
                <w:sz w:val="20"/>
                <w:szCs w:val="20"/>
              </w:rPr>
              <w:t>Never</w:t>
            </w:r>
          </w:p>
        </w:tc>
        <w:tc>
          <w:tcPr>
            <w:tcW w:w="252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58B1D4C" w14:textId="77777777" w:rsidR="00F2029F" w:rsidRDefault="00000000">
            <w:r>
              <w:rPr>
                <w:sz w:val="20"/>
                <w:szCs w:val="20"/>
              </w:rPr>
              <w:t>Never</w:t>
            </w:r>
          </w:p>
        </w:tc>
      </w:tr>
      <w:tr w:rsidR="00F2029F" w14:paraId="3638F8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F33792" w14:textId="77777777" w:rsidR="00F2029F" w:rsidRDefault="00000000">
            <w:r>
              <w:rPr>
                <w:b/>
                <w:bCs/>
                <w:sz w:val="20"/>
                <w:szCs w:val="20"/>
              </w:rPr>
              <w:t>Privacy mechanism</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A7ACE4" w14:textId="77777777" w:rsidR="00F2029F" w:rsidRDefault="00000000">
            <w:r>
              <w:rPr>
                <w:sz w:val="20"/>
                <w:szCs w:val="20"/>
              </w:rPr>
              <w:t>De-id + DPA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A059EE" w14:textId="77777777" w:rsidR="00F2029F" w:rsidRDefault="00000000">
            <w:r>
              <w:rPr>
                <w:sz w:val="20"/>
                <w:szCs w:val="20"/>
              </w:rPr>
              <w:t>Math DP (</w:t>
            </w:r>
            <w:proofErr w:type="spellStart"/>
            <w:proofErr w:type="gramStart"/>
            <w:r>
              <w:rPr>
                <w:sz w:val="20"/>
                <w:szCs w:val="20"/>
              </w:rPr>
              <w:t>ε,δ</w:t>
            </w:r>
            <w:proofErr w:type="spellEnd"/>
            <w:proofErr w:type="gramEnd"/>
            <w:r>
              <w:rPr>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A6D4A7" w14:textId="77777777" w:rsidR="00F2029F" w:rsidRDefault="00000000">
            <w:r>
              <w:rPr>
                <w:sz w:val="20"/>
                <w:szCs w:val="20"/>
              </w:rPr>
              <w:t>N/A</w:t>
            </w:r>
          </w:p>
        </w:tc>
      </w:tr>
      <w:tr w:rsidR="00F2029F" w14:paraId="3DA747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2A85E1C" w14:textId="77777777" w:rsidR="00F2029F" w:rsidRDefault="00000000">
            <w:r>
              <w:rPr>
                <w:b/>
                <w:bCs/>
                <w:sz w:val="20"/>
                <w:szCs w:val="20"/>
              </w:rPr>
              <w:t>Priority backbone updates</w:t>
            </w:r>
          </w:p>
        </w:tc>
        <w:tc>
          <w:tcPr>
            <w:tcW w:w="252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02F3588" w14:textId="77777777" w:rsidR="00F2029F" w:rsidRDefault="00000000">
            <w:r>
              <w:rPr>
                <w:b/>
                <w:bCs/>
                <w:color w:val="1A7A3C"/>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E2588AF" w14:textId="77777777" w:rsidR="00F2029F" w:rsidRDefault="00000000">
            <w:r>
              <w:rPr>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0F97917" w14:textId="77777777" w:rsidR="00F2029F" w:rsidRDefault="00000000">
            <w:r>
              <w:rPr>
                <w:sz w:val="20"/>
                <w:szCs w:val="20"/>
              </w:rPr>
              <w:t>—</w:t>
            </w:r>
          </w:p>
        </w:tc>
      </w:tr>
      <w:tr w:rsidR="00F2029F" w14:paraId="6704F0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62E27D" w14:textId="77777777" w:rsidR="00F2029F" w:rsidRDefault="00000000">
            <w:r>
              <w:rPr>
                <w:b/>
                <w:bCs/>
                <w:sz w:val="20"/>
                <w:szCs w:val="20"/>
              </w:rPr>
              <w:t>Privacy budget dashboard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97BE62" w14:textId="77777777" w:rsidR="00F2029F" w:rsidRDefault="00000000">
            <w:r>
              <w:rPr>
                <w:sz w:val="20"/>
                <w:szCs w:val="20"/>
              </w:rPr>
              <w:t>N/A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FA1CC" w14:textId="77777777" w:rsidR="00F2029F" w:rsidRDefault="00000000">
            <w:r>
              <w:rPr>
                <w:b/>
                <w:bCs/>
                <w:color w:val="1A7A3C"/>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EF40A" w14:textId="77777777" w:rsidR="00F2029F" w:rsidRDefault="00000000">
            <w:r>
              <w:rPr>
                <w:sz w:val="20"/>
                <w:szCs w:val="20"/>
              </w:rPr>
              <w:t>N/A</w:t>
            </w:r>
          </w:p>
        </w:tc>
      </w:tr>
      <w:tr w:rsidR="00F2029F" w14:paraId="1CDB4E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397127C" w14:textId="77777777" w:rsidR="00F2029F" w:rsidRDefault="00000000">
            <w:r>
              <w:rPr>
                <w:b/>
                <w:bCs/>
                <w:sz w:val="20"/>
                <w:szCs w:val="20"/>
              </w:rPr>
              <w:t>Model accuracy tier</w:t>
            </w:r>
          </w:p>
        </w:tc>
        <w:tc>
          <w:tcPr>
            <w:tcW w:w="252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5ACFE5C" w14:textId="77777777" w:rsidR="00F2029F" w:rsidRDefault="00000000">
            <w:r>
              <w:rPr>
                <w:sz w:val="20"/>
                <w:szCs w:val="20"/>
              </w:rPr>
              <w:t>Highest</w:t>
            </w:r>
          </w:p>
        </w:tc>
        <w:tc>
          <w:tcPr>
            <w:tcW w:w="252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8A6C4B3" w14:textId="77777777" w:rsidR="00F2029F" w:rsidRDefault="00000000">
            <w:r>
              <w:rPr>
                <w:sz w:val="20"/>
                <w:szCs w:val="20"/>
              </w:rPr>
              <w:t>Strong</w:t>
            </w:r>
          </w:p>
        </w:tc>
        <w:tc>
          <w:tcPr>
            <w:tcW w:w="252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0D4C020" w14:textId="77777777" w:rsidR="00F2029F" w:rsidRDefault="00000000">
            <w:r>
              <w:rPr>
                <w:sz w:val="20"/>
                <w:szCs w:val="20"/>
              </w:rPr>
              <w:t>Base</w:t>
            </w:r>
          </w:p>
        </w:tc>
      </w:tr>
    </w:tbl>
    <w:p w14:paraId="246C3EF6" w14:textId="77777777" w:rsidR="00F2029F" w:rsidRDefault="00F2029F">
      <w:pPr>
        <w:spacing w:before="240"/>
      </w:pPr>
    </w:p>
    <w:p w14:paraId="67B82753" w14:textId="77777777" w:rsidR="00F2029F" w:rsidRDefault="00000000">
      <w:pPr>
        <w:pStyle w:val="Heading2"/>
      </w:pPr>
      <w:bookmarkStart w:id="16" w:name="_Toc223543516"/>
      <w:r>
        <w:t>4.1 Tier 1: Contributor</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1"/>
        <w:gridCol w:w="7199"/>
      </w:tblGrid>
      <w:tr w:rsidR="00F2029F" w14:paraId="1808F239" w14:textId="77777777">
        <w:tblPrEx>
          <w:tblCellMar>
            <w:top w:w="0" w:type="dxa"/>
            <w:bottom w:w="0" w:type="dxa"/>
          </w:tblCellMar>
        </w:tblPrEx>
        <w:tc>
          <w:tcPr>
            <w:tcW w:w="1440" w:type="dxa"/>
            <w:tcBorders>
              <w:top w:val="single" w:sz="4" w:space="0" w:color="1B3A6E"/>
              <w:left w:val="single" w:sz="4" w:space="0" w:color="1B3A6E"/>
              <w:bottom w:val="single" w:sz="4" w:space="0" w:color="1B3A6E"/>
              <w:right w:val="single" w:sz="4" w:space="0" w:color="1B3A6E"/>
            </w:tcBorders>
            <w:shd w:val="clear" w:color="auto" w:fill="27AE60"/>
            <w:tcMar>
              <w:top w:w="80" w:type="dxa"/>
              <w:left w:w="120" w:type="dxa"/>
              <w:bottom w:w="80" w:type="dxa"/>
              <w:right w:w="120" w:type="dxa"/>
            </w:tcMar>
            <w:vAlign w:val="center"/>
          </w:tcPr>
          <w:p w14:paraId="1EC991B1" w14:textId="77777777" w:rsidR="00F2029F" w:rsidRDefault="00000000">
            <w:pPr>
              <w:jc w:val="center"/>
            </w:pPr>
            <w:r>
              <w:rPr>
                <w:b/>
                <w:bCs/>
                <w:color w:val="FFFFFF"/>
                <w:sz w:val="20"/>
                <w:szCs w:val="20"/>
              </w:rPr>
              <w:t>TIER 1</w:t>
            </w:r>
          </w:p>
          <w:p w14:paraId="35E6F46A" w14:textId="77777777" w:rsidR="00F2029F" w:rsidRDefault="00000000">
            <w:pPr>
              <w:jc w:val="center"/>
            </w:pPr>
            <w:r>
              <w:rPr>
                <w:b/>
                <w:bCs/>
                <w:color w:val="FFFFFF"/>
                <w:sz w:val="26"/>
                <w:szCs w:val="26"/>
              </w:rPr>
              <w:t>CONTRIBUTOR</w:t>
            </w:r>
          </w:p>
        </w:tc>
        <w:tc>
          <w:tcPr>
            <w:tcW w:w="7920" w:type="dxa"/>
            <w:tcBorders>
              <w:top w:val="single" w:sz="4" w:space="0" w:color="1B3A6E"/>
              <w:left w:val="single" w:sz="4" w:space="0" w:color="1B3A6E"/>
              <w:bottom w:val="single" w:sz="4" w:space="0" w:color="1B3A6E"/>
              <w:right w:val="single" w:sz="4" w:space="0" w:color="1B3A6E"/>
            </w:tcBorders>
            <w:shd w:val="clear" w:color="auto" w:fill="F8F8FF"/>
            <w:tcMar>
              <w:top w:w="80" w:type="dxa"/>
              <w:left w:w="120" w:type="dxa"/>
              <w:bottom w:w="80" w:type="dxa"/>
              <w:right w:w="120" w:type="dxa"/>
            </w:tcMar>
          </w:tcPr>
          <w:p w14:paraId="783B5A6D" w14:textId="77777777" w:rsidR="00F2029F" w:rsidRDefault="00000000">
            <w:r>
              <w:t>Full behavioral data contributed to the shared Feature Store / Science Layer. Maximum backbone accuracy. Highest intelligence return.</w:t>
            </w:r>
          </w:p>
        </w:tc>
      </w:tr>
    </w:tbl>
    <w:p w14:paraId="2A413A78" w14:textId="77777777" w:rsidR="00F2029F" w:rsidRDefault="00F2029F">
      <w:pPr>
        <w:spacing w:before="120"/>
      </w:pPr>
    </w:p>
    <w:p w14:paraId="236CC531" w14:textId="77777777" w:rsidR="00F2029F" w:rsidRDefault="00000000">
      <w:pPr>
        <w:spacing w:before="60" w:after="120"/>
      </w:pPr>
      <w:r>
        <w:t xml:space="preserve">Contributor FIs contribute anonymized behavioral feature vectors from their </w:t>
      </w:r>
      <w:proofErr w:type="gramStart"/>
      <w:r>
        <w:t>Silver</w:t>
      </w:r>
      <w:proofErr w:type="gramEnd"/>
      <w:r>
        <w:t xml:space="preserve"> layer to the shared Feature Store / Science Layer, subject to a Data Processing Agreement with Jack Henry. The de-identification applied at the Silver-to-Feature-Store boundary removes all direct FI and customer identifiers; the feature vectors encode statistical behavioral patterns but not identity.</w:t>
      </w:r>
    </w:p>
    <w:p w14:paraId="1ED5BA1A" w14:textId="77777777" w:rsidR="00F2029F" w:rsidRDefault="00000000">
      <w:pPr>
        <w:spacing w:before="60" w:after="120"/>
      </w:pPr>
      <w:r>
        <w:t>In exchange, Contributor FIs receive priority access to the backbone and its quarterly updates, and benefit from the richest possible training signal in the backbone — their payment patterns carry the highest weight in the training process. The per-FI fine-tuning pipeline is also available to Contributor FIs, enabling task-specific head models in their Platinum environment.</w:t>
      </w:r>
    </w:p>
    <w:p w14:paraId="08512DFF" w14:textId="77777777" w:rsidR="00F2029F" w:rsidRDefault="00000000">
      <w:pPr>
        <w:spacing w:before="60" w:after="120"/>
      </w:pPr>
      <w:r>
        <w:t>The appropriate due diligence for Contributor FIs includes reviewing the Jack Henry Data Processing Agreement, conducting an independent security assessment of the de-identification pipeline, and verifying that the DP noise parameters applied at the Silver-to-Feature-Store boundary meet the FI's data governance standards.</w:t>
      </w:r>
    </w:p>
    <w:p w14:paraId="2D5E4C1B" w14:textId="77777777" w:rsidR="00F2029F" w:rsidRDefault="00000000">
      <w:pPr>
        <w:pStyle w:val="Heading2"/>
      </w:pPr>
      <w:bookmarkStart w:id="17" w:name="_Toc223543517"/>
      <w:r>
        <w:lastRenderedPageBreak/>
        <w:t>4.2 Tier 2: Federated</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9"/>
        <w:gridCol w:w="7531"/>
      </w:tblGrid>
      <w:tr w:rsidR="00F2029F" w14:paraId="5CCEB8A7" w14:textId="77777777">
        <w:tblPrEx>
          <w:tblCellMar>
            <w:top w:w="0" w:type="dxa"/>
            <w:bottom w:w="0" w:type="dxa"/>
          </w:tblCellMar>
        </w:tblPrEx>
        <w:tc>
          <w:tcPr>
            <w:tcW w:w="1440" w:type="dxa"/>
            <w:tcBorders>
              <w:top w:val="single" w:sz="4" w:space="0" w:color="1B3A6E"/>
              <w:left w:val="single" w:sz="4" w:space="0" w:color="1B3A6E"/>
              <w:bottom w:val="single" w:sz="4" w:space="0" w:color="1B3A6E"/>
              <w:right w:val="single" w:sz="4" w:space="0" w:color="1B3A6E"/>
            </w:tcBorders>
            <w:shd w:val="clear" w:color="auto" w:fill="2980B9"/>
            <w:tcMar>
              <w:top w:w="80" w:type="dxa"/>
              <w:left w:w="120" w:type="dxa"/>
              <w:bottom w:w="80" w:type="dxa"/>
              <w:right w:w="120" w:type="dxa"/>
            </w:tcMar>
            <w:vAlign w:val="center"/>
          </w:tcPr>
          <w:p w14:paraId="159A71B1" w14:textId="77777777" w:rsidR="00F2029F" w:rsidRDefault="00000000">
            <w:pPr>
              <w:jc w:val="center"/>
            </w:pPr>
            <w:r>
              <w:rPr>
                <w:b/>
                <w:bCs/>
                <w:color w:val="FFFFFF"/>
                <w:sz w:val="20"/>
                <w:szCs w:val="20"/>
              </w:rPr>
              <w:t>TIER 2</w:t>
            </w:r>
          </w:p>
          <w:p w14:paraId="61084A85" w14:textId="77777777" w:rsidR="00F2029F" w:rsidRDefault="00000000">
            <w:pPr>
              <w:jc w:val="center"/>
            </w:pPr>
            <w:r>
              <w:rPr>
                <w:b/>
                <w:bCs/>
                <w:color w:val="FFFFFF"/>
                <w:sz w:val="26"/>
                <w:szCs w:val="26"/>
              </w:rPr>
              <w:t>FEDERATED</w:t>
            </w:r>
          </w:p>
        </w:tc>
        <w:tc>
          <w:tcPr>
            <w:tcW w:w="7920" w:type="dxa"/>
            <w:tcBorders>
              <w:top w:val="single" w:sz="4" w:space="0" w:color="1B3A6E"/>
              <w:left w:val="single" w:sz="4" w:space="0" w:color="1B3A6E"/>
              <w:bottom w:val="single" w:sz="4" w:space="0" w:color="1B3A6E"/>
              <w:right w:val="single" w:sz="4" w:space="0" w:color="1B3A6E"/>
            </w:tcBorders>
            <w:shd w:val="clear" w:color="auto" w:fill="F8F8FF"/>
            <w:tcMar>
              <w:top w:w="80" w:type="dxa"/>
              <w:left w:w="120" w:type="dxa"/>
              <w:bottom w:w="80" w:type="dxa"/>
              <w:right w:w="120" w:type="dxa"/>
            </w:tcMar>
          </w:tcPr>
          <w:p w14:paraId="161FCB80" w14:textId="77777777" w:rsidR="00F2029F" w:rsidRDefault="00000000">
            <w:r>
              <w:t>Gradients only — data never leaves the FI boundary. Mathematical (ε, δ)-DP privacy guarantee. Strong backbone contribution.</w:t>
            </w:r>
          </w:p>
        </w:tc>
      </w:tr>
    </w:tbl>
    <w:p w14:paraId="018EBFA1" w14:textId="77777777" w:rsidR="00F2029F" w:rsidRDefault="00F2029F">
      <w:pPr>
        <w:spacing w:before="120"/>
      </w:pPr>
    </w:p>
    <w:p w14:paraId="5C5A389C" w14:textId="77777777" w:rsidR="00F2029F" w:rsidRDefault="00000000">
      <w:pPr>
        <w:spacing w:before="60" w:after="120"/>
      </w:pPr>
      <w:r>
        <w:t>Federated FIs participate in backbone training without any raw data leaving their environment. The protocol operates as follows: Jack Henry broadcasts the current backbone weights to all participating Federated FIs. Each FI runs a local training round on their Bronze/Silver data, computing gradient updates using Differentially Private Stochastic Gradient Descent (DP-SGD). The resulting noised gradients — not the underlying data — are transmitted to a Secure Aggregation server.</w:t>
      </w:r>
    </w:p>
    <w:p w14:paraId="0C3AB090" w14:textId="77777777" w:rsidR="00F2029F" w:rsidRDefault="00000000">
      <w:pPr>
        <w:spacing w:before="60" w:after="120"/>
      </w:pPr>
      <w:r>
        <w:t>The Secure Aggregation protocol uses cryptographic Multi-Party Computation (SMPC) to ensure that the aggregation server computes only the sum of all participating FI gradients; it never has access to any individual FI's gradient. The summed gradient is used to update the backbone, and the cycle repeats.</w:t>
      </w:r>
    </w:p>
    <w:p w14:paraId="429434DE" w14:textId="77777777" w:rsidR="00F2029F" w:rsidRDefault="00000000">
      <w:pPr>
        <w:spacing w:before="60" w:after="120"/>
      </w:pPr>
      <w:r>
        <w:t xml:space="preserve">The mathematical privacy guarantee is the (ε, δ)-DP bound: for any two neighboring datasets (differing by one transaction), the probability that an adversary can distinguish which dataset was used for training is bounded by </w:t>
      </w:r>
      <w:proofErr w:type="spellStart"/>
      <w:r>
        <w:t>e^ε</w:t>
      </w:r>
      <w:proofErr w:type="spellEnd"/>
      <w:r>
        <w:t>. Federated FIs receive a real-time privacy accounting dashboard showing their cumulative ε expenditure across all training rounds, and can set a maximum ε threshold that triggers automatic suspension of their participation if exceeded.</w:t>
      </w:r>
    </w:p>
    <w:p w14:paraId="4ABCF719" w14:textId="77777777" w:rsidR="00F2029F" w:rsidRDefault="00000000">
      <w:pPr>
        <w:spacing w:before="60" w:after="120"/>
      </w:pPr>
      <w:r>
        <w:t>Federated tier is the recommended entry point for FIs with strict data sovereignty requirements or regulatory constraints (e.g., state-chartered banks with explicit data residency requirements, credit unions with member privacy obligations).</w:t>
      </w:r>
    </w:p>
    <w:p w14:paraId="4E605ABD" w14:textId="77777777" w:rsidR="00F2029F" w:rsidRDefault="00000000">
      <w:pPr>
        <w:pStyle w:val="Heading2"/>
      </w:pPr>
      <w:bookmarkStart w:id="18" w:name="_Toc223543518"/>
      <w:r>
        <w:t>4.3 Tier 3: Observer</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F2029F" w14:paraId="4D6954F3" w14:textId="77777777">
        <w:tblPrEx>
          <w:tblCellMar>
            <w:top w:w="0" w:type="dxa"/>
            <w:bottom w:w="0" w:type="dxa"/>
          </w:tblCellMar>
        </w:tblPrEx>
        <w:tc>
          <w:tcPr>
            <w:tcW w:w="1440" w:type="dxa"/>
            <w:tcBorders>
              <w:top w:val="single" w:sz="4" w:space="0" w:color="1B3A6E"/>
              <w:left w:val="single" w:sz="4" w:space="0" w:color="1B3A6E"/>
              <w:bottom w:val="single" w:sz="4" w:space="0" w:color="1B3A6E"/>
              <w:right w:val="single" w:sz="4" w:space="0" w:color="1B3A6E"/>
            </w:tcBorders>
            <w:shd w:val="clear" w:color="auto" w:fill="8E44AD"/>
            <w:tcMar>
              <w:top w:w="80" w:type="dxa"/>
              <w:left w:w="120" w:type="dxa"/>
              <w:bottom w:w="80" w:type="dxa"/>
              <w:right w:w="120" w:type="dxa"/>
            </w:tcMar>
            <w:vAlign w:val="center"/>
          </w:tcPr>
          <w:p w14:paraId="6185EAA3" w14:textId="77777777" w:rsidR="00F2029F" w:rsidRDefault="00000000">
            <w:pPr>
              <w:jc w:val="center"/>
            </w:pPr>
            <w:r>
              <w:rPr>
                <w:b/>
                <w:bCs/>
                <w:color w:val="FFFFFF"/>
                <w:sz w:val="20"/>
                <w:szCs w:val="20"/>
              </w:rPr>
              <w:t>TIER 3</w:t>
            </w:r>
          </w:p>
          <w:p w14:paraId="69875138" w14:textId="77777777" w:rsidR="00F2029F" w:rsidRDefault="00000000">
            <w:pPr>
              <w:jc w:val="center"/>
            </w:pPr>
            <w:r>
              <w:rPr>
                <w:b/>
                <w:bCs/>
                <w:color w:val="FFFFFF"/>
                <w:sz w:val="26"/>
                <w:szCs w:val="26"/>
              </w:rPr>
              <w:t>OBSERVER</w:t>
            </w:r>
          </w:p>
        </w:tc>
        <w:tc>
          <w:tcPr>
            <w:tcW w:w="7920" w:type="dxa"/>
            <w:tcBorders>
              <w:top w:val="single" w:sz="4" w:space="0" w:color="1B3A6E"/>
              <w:left w:val="single" w:sz="4" w:space="0" w:color="1B3A6E"/>
              <w:bottom w:val="single" w:sz="4" w:space="0" w:color="1B3A6E"/>
              <w:right w:val="single" w:sz="4" w:space="0" w:color="1B3A6E"/>
            </w:tcBorders>
            <w:shd w:val="clear" w:color="auto" w:fill="F8F8FF"/>
            <w:tcMar>
              <w:top w:w="80" w:type="dxa"/>
              <w:left w:w="120" w:type="dxa"/>
              <w:bottom w:w="80" w:type="dxa"/>
              <w:right w:w="120" w:type="dxa"/>
            </w:tcMar>
          </w:tcPr>
          <w:p w14:paraId="0743C1AA" w14:textId="77777777" w:rsidR="00F2029F" w:rsidRDefault="00000000">
            <w:r>
              <w:t>Backbone access only — zero data contribution. Benefit from network intelligence without any sharing obligation.</w:t>
            </w:r>
          </w:p>
        </w:tc>
      </w:tr>
    </w:tbl>
    <w:p w14:paraId="5CECBEF9" w14:textId="77777777" w:rsidR="00F2029F" w:rsidRDefault="00F2029F">
      <w:pPr>
        <w:spacing w:before="120"/>
      </w:pPr>
    </w:p>
    <w:p w14:paraId="0167485A" w14:textId="77777777" w:rsidR="00F2029F" w:rsidRDefault="00000000">
      <w:pPr>
        <w:spacing w:before="60" w:after="120"/>
      </w:pPr>
      <w:r>
        <w:t>Observer FIs access the pre-trained foundation model backbone — trained on Contributor and Federated FI data — without contributing any data or gradients. The backbone is deployed to the FI's Platinum environment, where it can be used for inference against the FI's own payment events.</w:t>
      </w:r>
    </w:p>
    <w:p w14:paraId="724F5BC4" w14:textId="77777777" w:rsidR="00F2029F" w:rsidRDefault="00000000">
      <w:pPr>
        <w:spacing w:before="60" w:after="120"/>
      </w:pPr>
      <w:r>
        <w:t>Because Observer FIs do not contribute data, the backbone cannot be fine-tuned to their specific payment patterns. Accuracy is strong (the backbone encodes universal payment timing dynamics) but not FI-specialized. Observer FIs are provided with a quantified estimate of the accuracy improvement they would receive by migrating to Federated or Contributor tier, enabling a data-driven upgrade decision.</w:t>
      </w:r>
    </w:p>
    <w:p w14:paraId="69805B73" w14:textId="77777777" w:rsidR="00F2029F" w:rsidRDefault="00000000">
      <w:pPr>
        <w:spacing w:before="60" w:after="120"/>
      </w:pPr>
      <w:r>
        <w:t>Observer tier is designed as a zero-commitment entry point. It is appropriate for FIs in evaluation mode, FIs under regulatory review of the platform, or FIs whose legal team needs time to review data sharing arrangements before committing to deeper participation.</w:t>
      </w:r>
    </w:p>
    <w:p w14:paraId="7C4129B5" w14:textId="77777777" w:rsidR="00F2029F" w:rsidRDefault="00000000">
      <w:r>
        <w:br w:type="page"/>
      </w:r>
    </w:p>
    <w:p w14:paraId="6AEA0A46" w14:textId="77777777" w:rsidR="00F2029F" w:rsidRDefault="00000000">
      <w:pPr>
        <w:pStyle w:val="Heading1"/>
      </w:pPr>
      <w:bookmarkStart w:id="19" w:name="_Toc223543519"/>
      <w:r>
        <w:lastRenderedPageBreak/>
        <w:t>5. Privacy and Security Architecture</w:t>
      </w:r>
      <w:bookmarkEnd w:id="19"/>
    </w:p>
    <w:p w14:paraId="2F99137F" w14:textId="77777777" w:rsidR="00F2029F" w:rsidRDefault="00000000">
      <w:pPr>
        <w:spacing w:before="60" w:after="120"/>
      </w:pPr>
      <w:r>
        <w:t>The central claim of this architecture — that FI data is secure even as the network collectively learns from it — is substantiated by four interlocking technical mechanisms. These mechanisms are structural: they are enforced by the system design and cryptographic protocols, not by access control policies that could be overridden.</w:t>
      </w:r>
    </w:p>
    <w:p w14:paraId="1E8DB08D" w14:textId="77777777" w:rsidR="00F2029F" w:rsidRDefault="00000000">
      <w:pPr>
        <w:pStyle w:val="Heading2"/>
      </w:pPr>
      <w:bookmarkStart w:id="20" w:name="_Toc223543520"/>
      <w:r>
        <w:t>5.1 Cryptographic Data Isolation</w:t>
      </w:r>
      <w:bookmarkEnd w:id="20"/>
    </w:p>
    <w:p w14:paraId="3CBADAA7" w14:textId="77777777" w:rsidR="00F2029F" w:rsidRDefault="00000000">
      <w:pPr>
        <w:spacing w:before="60" w:after="120"/>
      </w:pPr>
      <w:r>
        <w:t>Every FI's Bronze and Silver data is encrypted at rest using FI-specific customer-managed encryption keys. Jack Henry's platform operates on the encrypted data without access to the decryption keys. The only way the platform accesses FI data in plaintext is through explicit FI authorization (e.g., the FI granting temporary access for a specific support operation), and all such access is logged and audited.</w:t>
      </w:r>
    </w:p>
    <w:p w14:paraId="676312CE" w14:textId="77777777" w:rsidR="00F2029F" w:rsidRDefault="00000000">
      <w:pPr>
        <w:spacing w:before="60" w:after="120"/>
      </w:pPr>
      <w:r>
        <w:t>This means that even a full compromise of Jack Henry's platform infrastructure would not expose any FI's raw payment data. The data is cryptographically inaccessible without the FI's key.</w:t>
      </w:r>
    </w:p>
    <w:p w14:paraId="5ED55661" w14:textId="77777777" w:rsidR="00F2029F" w:rsidRDefault="00000000">
      <w:pPr>
        <w:pStyle w:val="Heading2"/>
      </w:pPr>
      <w:bookmarkStart w:id="21" w:name="_Toc223543521"/>
      <w:r>
        <w:t>5.2 Differential Privacy</w:t>
      </w:r>
      <w:bookmarkEnd w:id="21"/>
    </w:p>
    <w:p w14:paraId="395FB682" w14:textId="77777777" w:rsidR="00F2029F" w:rsidRDefault="00000000">
      <w:pPr>
        <w:spacing w:before="60" w:after="120"/>
      </w:pPr>
      <w:r>
        <w:t>Differential privacy provides a mathematical upper bound on the privacy loss incurred by participating in the training process. Formally, a mechanism M satisfies (ε, δ)-differential privacy if for any two datasets D and D' differing by one individual's data, and for any set of outputs S:</w:t>
      </w:r>
    </w:p>
    <w:p w14:paraId="27E968F4" w14:textId="77777777" w:rsidR="00F2029F" w:rsidRDefault="00000000">
      <w:pPr>
        <w:spacing w:before="60" w:after="120"/>
      </w:pPr>
      <w:proofErr w:type="spellStart"/>
      <w:r>
        <w:rPr>
          <w:b/>
          <w:bCs/>
          <w:i/>
          <w:iCs/>
        </w:rPr>
        <w:t>Pr</w:t>
      </w:r>
      <w:proofErr w:type="spellEnd"/>
      <w:r>
        <w:rPr>
          <w:b/>
          <w:bCs/>
          <w:i/>
          <w:iCs/>
        </w:rPr>
        <w:t xml:space="preserve">[M(D) ∈ S] ≤ </w:t>
      </w:r>
      <w:proofErr w:type="spellStart"/>
      <w:r>
        <w:rPr>
          <w:b/>
          <w:bCs/>
          <w:i/>
          <w:iCs/>
        </w:rPr>
        <w:t>e^ε</w:t>
      </w:r>
      <w:proofErr w:type="spellEnd"/>
      <w:r>
        <w:rPr>
          <w:b/>
          <w:bCs/>
          <w:i/>
          <w:iCs/>
        </w:rPr>
        <w:t xml:space="preserve"> · </w:t>
      </w:r>
      <w:proofErr w:type="spellStart"/>
      <w:r>
        <w:rPr>
          <w:b/>
          <w:bCs/>
          <w:i/>
          <w:iCs/>
        </w:rPr>
        <w:t>Pr</w:t>
      </w:r>
      <w:proofErr w:type="spellEnd"/>
      <w:r>
        <w:rPr>
          <w:b/>
          <w:bCs/>
          <w:i/>
          <w:iCs/>
        </w:rPr>
        <w:t>[M(D') ∈ S] + δ</w:t>
      </w:r>
    </w:p>
    <w:p w14:paraId="406C164F" w14:textId="77777777" w:rsidR="00F2029F" w:rsidRDefault="00000000">
      <w:pPr>
        <w:spacing w:before="60" w:after="120"/>
      </w:pPr>
      <w:r>
        <w:t xml:space="preserve">In practice, this </w:t>
      </w:r>
      <w:proofErr w:type="gramStart"/>
      <w:r>
        <w:t>means:</w:t>
      </w:r>
      <w:proofErr w:type="gramEnd"/>
      <w:r>
        <w:t xml:space="preserve"> for any adversary — regardless of their computational power or background knowledge — the probability that they can determine whether any specific transaction was included in the training data is bounded by </w:t>
      </w:r>
      <w:proofErr w:type="spellStart"/>
      <w:r>
        <w:t>e^ε</w:t>
      </w:r>
      <w:proofErr w:type="spellEnd"/>
      <w:r>
        <w:t>. This is not a policy promise; it is a mathematical theorem.</w:t>
      </w:r>
    </w:p>
    <w:p w14:paraId="0DA09AFC" w14:textId="77777777" w:rsidR="00F2029F" w:rsidRDefault="00000000">
      <w:pPr>
        <w:spacing w:before="60" w:after="120"/>
      </w:pPr>
      <w:r>
        <w:t>The DP noise is applied using DP-SGD during federated training (for Federated FIs) and at the Silver-to-Feature-Store transformation boundary (for Contributor FIs). We use Rényi Differential Privacy (RDP) accounting for multi-round composition, which provides tighter bounds than standard (ε, δ) accounting for the continuous retraining scenario.</w:t>
      </w:r>
    </w:p>
    <w:p w14:paraId="6566778F" w14:textId="77777777" w:rsidR="00F2029F" w:rsidRDefault="00000000">
      <w:pPr>
        <w:pStyle w:val="Heading2"/>
      </w:pPr>
      <w:bookmarkStart w:id="22" w:name="_Toc223543522"/>
      <w:r>
        <w:t>5.3 Secure Multi-Party Computation for Gradient Aggregation</w:t>
      </w:r>
      <w:bookmarkEnd w:id="22"/>
    </w:p>
    <w:p w14:paraId="270583C4" w14:textId="77777777" w:rsidR="00F2029F" w:rsidRDefault="00000000">
      <w:pPr>
        <w:spacing w:before="60" w:after="120"/>
      </w:pPr>
      <w:r>
        <w:t>The federated learning aggregation step introduces a potential privacy vulnerability: if the aggregation server has access to individual FI gradient vectors, gradient inversion attacks could potentially reconstruct features of the underlying training data. Secure Aggregation (</w:t>
      </w:r>
      <w:proofErr w:type="spellStart"/>
      <w:r>
        <w:t>SecAgg</w:t>
      </w:r>
      <w:proofErr w:type="spellEnd"/>
      <w:r>
        <w:t>) addresses this directly.</w:t>
      </w:r>
    </w:p>
    <w:p w14:paraId="199CAF60" w14:textId="77777777" w:rsidR="00F2029F" w:rsidRDefault="00000000">
      <w:pPr>
        <w:spacing w:before="60" w:after="120"/>
      </w:pPr>
      <w:proofErr w:type="spellStart"/>
      <w:r>
        <w:t>SecAgg</w:t>
      </w:r>
      <w:proofErr w:type="spellEnd"/>
      <w:r>
        <w:t xml:space="preserve"> uses a cryptographic SMPC protocol (e.g., the Google </w:t>
      </w:r>
      <w:proofErr w:type="spellStart"/>
      <w:r>
        <w:t>SecAgg</w:t>
      </w:r>
      <w:proofErr w:type="spellEnd"/>
      <w:r>
        <w:t xml:space="preserve"> protocol or similar) such that the aggregation server computes only the sum of all participating FI gradient vectors. The individual gradient contributions are encrypted before transmission; the server can decrypt only the aggregate, not any individual contribution. An adversary who fully compromises the aggregation server gains access only to the summed gradient — which, combined with the DP noise already injected by each FI, provides no exploitable information about individual FI data.</w:t>
      </w:r>
    </w:p>
    <w:p w14:paraId="2B00C00E" w14:textId="77777777" w:rsidR="00F2029F" w:rsidRDefault="00000000">
      <w:pPr>
        <w:pStyle w:val="Heading2"/>
      </w:pPr>
      <w:bookmarkStart w:id="23" w:name="_Toc223543523"/>
      <w:r>
        <w:t>5.4 The Platinum Isolation Model</w:t>
      </w:r>
      <w:bookmarkEnd w:id="23"/>
    </w:p>
    <w:p w14:paraId="56D4AC2E" w14:textId="77777777" w:rsidR="00F2029F" w:rsidRDefault="00000000">
      <w:pPr>
        <w:spacing w:before="60" w:after="120"/>
      </w:pPr>
      <w:r>
        <w:lastRenderedPageBreak/>
        <w:t>The Platinum layer embodies a clean separation between Jack Henry's platform infrastructure and each FI's sovereign data space. The platform provides compute, storage, and operational tooling; the FI owns and controls the models, the enriched data, and the inference outputs. There is no system pathway — no API, no data pipeline, no access control override — by which the platform or another FI can read a given FI's Platinum data.</w:t>
      </w:r>
    </w:p>
    <w:p w14:paraId="37DE4B69" w14:textId="77777777" w:rsidR="00F2029F" w:rsidRDefault="00000000">
      <w:pPr>
        <w:spacing w:before="60" w:after="120"/>
      </w:pPr>
      <w:r>
        <w:t>This isolation is verifiable by the FI's security team: the Platinum environment is a standard cloud tenant (VPC / dedicated subscription) whose access controls are FI-managed. Jack Henry's platform components operate outside the Platinum boundary and interact only through FI-authorized APIs. A third-party penetration test can confirm the absence of cross-tenant pathways.</w:t>
      </w:r>
    </w:p>
    <w:p w14:paraId="65FFC7CB" w14:textId="77777777" w:rsidR="00F2029F" w:rsidRDefault="00000000">
      <w:r>
        <w:br w:type="page"/>
      </w:r>
    </w:p>
    <w:p w14:paraId="20A0AFFB" w14:textId="77777777" w:rsidR="00F2029F" w:rsidRDefault="00000000">
      <w:pPr>
        <w:pStyle w:val="Heading1"/>
      </w:pPr>
      <w:bookmarkStart w:id="24" w:name="_Toc223543524"/>
      <w:r>
        <w:lastRenderedPageBreak/>
        <w:t xml:space="preserve">6. Backbone Version Management: </w:t>
      </w:r>
      <w:proofErr w:type="spellStart"/>
      <w:r>
        <w:t>LoRA</w:t>
      </w:r>
      <w:proofErr w:type="spellEnd"/>
      <w:r>
        <w:t xml:space="preserve"> Adapters</w:t>
      </w:r>
      <w:bookmarkEnd w:id="24"/>
    </w:p>
    <w:p w14:paraId="4F8C05FA" w14:textId="77777777" w:rsidR="00F2029F" w:rsidRDefault="00000000">
      <w:pPr>
        <w:spacing w:before="60" w:after="120"/>
      </w:pPr>
      <w:r>
        <w:t>The foundation model backbone is retrained quarterly as new Feature Store data accumulates and as federated training rounds complete. When the backbone is updated, each FI's fine-tuned heads — which were trained against the previous backbone version — may need updating to remain accurate. Full re-</w:t>
      </w:r>
      <w:proofErr w:type="gramStart"/>
      <w:r>
        <w:t>fine-tuning</w:t>
      </w:r>
      <w:proofErr w:type="gramEnd"/>
      <w:r>
        <w:t xml:space="preserve"> for every FI on every backbone update is computationally expensive and operationally complex.</w:t>
      </w:r>
    </w:p>
    <w:p w14:paraId="49CE20D6" w14:textId="77777777" w:rsidR="00F2029F" w:rsidRDefault="00000000">
      <w:pPr>
        <w:spacing w:before="60" w:after="120"/>
      </w:pPr>
      <w:r>
        <w:t>Low-Rank Adaptation (</w:t>
      </w:r>
      <w:proofErr w:type="spellStart"/>
      <w:r>
        <w:t>LoRA</w:t>
      </w:r>
      <w:proofErr w:type="spellEnd"/>
      <w:r>
        <w:t>) solves this problem by representing backbone weight updates as low-rank matrix products. Specifically, for a backbone weight matrix W ∈ ℝ^(</w:t>
      </w:r>
      <w:proofErr w:type="spellStart"/>
      <w:r>
        <w:t>d×k</w:t>
      </w:r>
      <w:proofErr w:type="spellEnd"/>
      <w:r>
        <w:t>), the update is parameterized as ΔW = BA where B ∈ ℝ^(</w:t>
      </w:r>
      <w:proofErr w:type="spellStart"/>
      <w:r>
        <w:t>d×r</w:t>
      </w:r>
      <w:proofErr w:type="spellEnd"/>
      <w:r>
        <w:t>) and A ∈ ℝ^(</w:t>
      </w:r>
      <w:proofErr w:type="spellStart"/>
      <w:r>
        <w:t>r×k</w:t>
      </w:r>
      <w:proofErr w:type="spellEnd"/>
      <w:r>
        <w:t xml:space="preserve">), with rank r &lt;&lt; </w:t>
      </w:r>
      <w:proofErr w:type="gramStart"/>
      <w:r>
        <w:t>min(</w:t>
      </w:r>
      <w:proofErr w:type="gramEnd"/>
      <w:r>
        <w:t xml:space="preserve">d, k). For a typical backbone layer with d = k = 768 and r = 8, </w:t>
      </w:r>
      <w:proofErr w:type="spellStart"/>
      <w:r>
        <w:t>LoRA</w:t>
      </w:r>
      <w:proofErr w:type="spellEnd"/>
      <w:r>
        <w:t xml:space="preserve"> reduces the number of trainable parameters by a factor of ~96.</w:t>
      </w:r>
    </w:p>
    <w:p w14:paraId="03CE837E" w14:textId="77777777" w:rsidR="00F2029F" w:rsidRDefault="00000000">
      <w:pPr>
        <w:spacing w:before="60" w:after="120"/>
      </w:pPr>
      <w:r>
        <w:t xml:space="preserve">When backbone version v_{t+1} is released, the Jack Henry platform computes the </w:t>
      </w:r>
      <w:proofErr w:type="spellStart"/>
      <w:r>
        <w:t>LoRA</w:t>
      </w:r>
      <w:proofErr w:type="spellEnd"/>
      <w:r>
        <w:t xml:space="preserve"> delta between </w:t>
      </w:r>
      <w:proofErr w:type="spellStart"/>
      <w:r>
        <w:t>v_t</w:t>
      </w:r>
      <w:proofErr w:type="spellEnd"/>
      <w:r>
        <w:t xml:space="preserve"> and v_{t+1}. This delta is transmitted to each FI's Platinum environment, where it is applied to the existing fine-tuned head weights. The update takes minutes (not days), requires minimal compute, and is applied in a controlled way: the FI's Platinum environment validates the updated model on a held-out FI-specific test set and presents an accuracy comparison before the update is applied. The FI controls the update — it can defer or reject a backbone version update without losing service continuity on the previous version.</w:t>
      </w:r>
    </w:p>
    <w:p w14:paraId="249732C5" w14:textId="77777777" w:rsidR="00F2029F" w:rsidRDefault="00000000">
      <w:r>
        <w:br w:type="page"/>
      </w:r>
    </w:p>
    <w:p w14:paraId="578379AB" w14:textId="77777777" w:rsidR="00F2029F" w:rsidRDefault="00000000">
      <w:pPr>
        <w:pStyle w:val="Heading1"/>
      </w:pPr>
      <w:bookmarkStart w:id="25" w:name="_Toc223543525"/>
      <w:r>
        <w:lastRenderedPageBreak/>
        <w:t>7. Implementation Roadmap</w:t>
      </w:r>
      <w:bookmarkEnd w:id="25"/>
    </w:p>
    <w:p w14:paraId="69DF879C" w14:textId="77777777" w:rsidR="00F2029F" w:rsidRDefault="00000000">
      <w:pPr>
        <w:spacing w:before="60" w:after="120"/>
      </w:pPr>
      <w:r>
        <w:t>The implementation is structured in four sequential phases, with each phase producing both deployable infrastructure and measurable intelligence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4760"/>
        <w:gridCol w:w="2000"/>
      </w:tblGrid>
      <w:tr w:rsidR="00F2029F" w14:paraId="635252F7" w14:textId="77777777">
        <w:tblPrEx>
          <w:tblCellMar>
            <w:top w:w="0" w:type="dxa"/>
            <w:bottom w:w="0" w:type="dxa"/>
          </w:tblCellMar>
        </w:tblPrEx>
        <w:tc>
          <w:tcPr>
            <w:tcW w:w="1200" w:type="dxa"/>
            <w:tcBorders>
              <w:top w:val="single" w:sz="4" w:space="0" w:color="1B3A6E"/>
              <w:left w:val="single" w:sz="4" w:space="0" w:color="1B3A6E"/>
              <w:bottom w:val="single" w:sz="4" w:space="0" w:color="1B3A6E"/>
              <w:right w:val="single" w:sz="4" w:space="0" w:color="1B3A6E"/>
            </w:tcBorders>
            <w:shd w:val="clear" w:color="auto" w:fill="1B3A6E"/>
            <w:tcMar>
              <w:top w:w="80" w:type="dxa"/>
              <w:left w:w="120" w:type="dxa"/>
              <w:bottom w:w="80" w:type="dxa"/>
              <w:right w:w="120" w:type="dxa"/>
            </w:tcMar>
            <w:vAlign w:val="center"/>
          </w:tcPr>
          <w:p w14:paraId="3F625A7E" w14:textId="77777777" w:rsidR="00F2029F" w:rsidRDefault="00000000">
            <w:r>
              <w:rPr>
                <w:b/>
                <w:bCs/>
                <w:color w:val="FFFFFF"/>
                <w:sz w:val="20"/>
                <w:szCs w:val="20"/>
              </w:rPr>
              <w:t>Phase</w:t>
            </w:r>
          </w:p>
        </w:tc>
        <w:tc>
          <w:tcPr>
            <w:tcW w:w="1400" w:type="dxa"/>
            <w:tcBorders>
              <w:top w:val="single" w:sz="4" w:space="0" w:color="1B3A6E"/>
              <w:left w:val="single" w:sz="4" w:space="0" w:color="1B3A6E"/>
              <w:bottom w:val="single" w:sz="4" w:space="0" w:color="1B3A6E"/>
              <w:right w:val="single" w:sz="4" w:space="0" w:color="1B3A6E"/>
            </w:tcBorders>
            <w:shd w:val="clear" w:color="auto" w:fill="1B3A6E"/>
            <w:tcMar>
              <w:top w:w="80" w:type="dxa"/>
              <w:left w:w="120" w:type="dxa"/>
              <w:bottom w:w="80" w:type="dxa"/>
              <w:right w:w="120" w:type="dxa"/>
            </w:tcMar>
            <w:vAlign w:val="center"/>
          </w:tcPr>
          <w:p w14:paraId="3B36600D" w14:textId="77777777" w:rsidR="00F2029F" w:rsidRDefault="00000000">
            <w:r>
              <w:rPr>
                <w:b/>
                <w:bCs/>
                <w:color w:val="FFFFFF"/>
                <w:sz w:val="20"/>
                <w:szCs w:val="20"/>
              </w:rPr>
              <w:t>Timeline</w:t>
            </w:r>
          </w:p>
        </w:tc>
        <w:tc>
          <w:tcPr>
            <w:tcW w:w="4760" w:type="dxa"/>
            <w:tcBorders>
              <w:top w:val="single" w:sz="4" w:space="0" w:color="1B3A6E"/>
              <w:left w:val="single" w:sz="4" w:space="0" w:color="1B3A6E"/>
              <w:bottom w:val="single" w:sz="4" w:space="0" w:color="1B3A6E"/>
              <w:right w:val="single" w:sz="4" w:space="0" w:color="1B3A6E"/>
            </w:tcBorders>
            <w:shd w:val="clear" w:color="auto" w:fill="1B3A6E"/>
            <w:tcMar>
              <w:top w:w="80" w:type="dxa"/>
              <w:left w:w="120" w:type="dxa"/>
              <w:bottom w:w="80" w:type="dxa"/>
              <w:right w:w="120" w:type="dxa"/>
            </w:tcMar>
            <w:vAlign w:val="center"/>
          </w:tcPr>
          <w:p w14:paraId="300FA91E" w14:textId="77777777" w:rsidR="00F2029F" w:rsidRDefault="00000000">
            <w:r>
              <w:rPr>
                <w:b/>
                <w:bCs/>
                <w:color w:val="FFFFFF"/>
                <w:sz w:val="20"/>
                <w:szCs w:val="20"/>
              </w:rPr>
              <w:t>Deliverables</w:t>
            </w:r>
          </w:p>
        </w:tc>
        <w:tc>
          <w:tcPr>
            <w:tcW w:w="2000" w:type="dxa"/>
            <w:tcBorders>
              <w:top w:val="single" w:sz="4" w:space="0" w:color="1B3A6E"/>
              <w:left w:val="single" w:sz="4" w:space="0" w:color="1B3A6E"/>
              <w:bottom w:val="single" w:sz="4" w:space="0" w:color="1B3A6E"/>
              <w:right w:val="single" w:sz="4" w:space="0" w:color="1B3A6E"/>
            </w:tcBorders>
            <w:shd w:val="clear" w:color="auto" w:fill="1B3A6E"/>
            <w:tcMar>
              <w:top w:w="80" w:type="dxa"/>
              <w:left w:w="120" w:type="dxa"/>
              <w:bottom w:w="80" w:type="dxa"/>
              <w:right w:w="120" w:type="dxa"/>
            </w:tcMar>
            <w:vAlign w:val="center"/>
          </w:tcPr>
          <w:p w14:paraId="63D7A7EE" w14:textId="77777777" w:rsidR="00F2029F" w:rsidRDefault="00000000">
            <w:r>
              <w:rPr>
                <w:b/>
                <w:bCs/>
                <w:color w:val="FFFFFF"/>
                <w:sz w:val="20"/>
                <w:szCs w:val="20"/>
              </w:rPr>
              <w:t>Value Gate</w:t>
            </w:r>
          </w:p>
        </w:tc>
      </w:tr>
      <w:tr w:rsidR="00F2029F" w14:paraId="7CA8B2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6845B115" w14:textId="77777777" w:rsidR="00F2029F" w:rsidRDefault="00000000">
            <w:r>
              <w:rPr>
                <w:b/>
                <w:bCs/>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54A76D49" w14:textId="77777777" w:rsidR="00F2029F" w:rsidRDefault="00000000">
            <w:r>
              <w:rPr>
                <w:sz w:val="20"/>
                <w:szCs w:val="20"/>
              </w:rPr>
              <w:t>Q1–Q2</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3618709F" w14:textId="77777777" w:rsidR="00F2029F" w:rsidRDefault="00000000">
            <w:r>
              <w:rPr>
                <w:sz w:val="20"/>
                <w:szCs w:val="20"/>
              </w:rPr>
              <w:t xml:space="preserve">Medallion data lake: Bronze ingest for all 18 payment types, </w:t>
            </w:r>
            <w:proofErr w:type="gramStart"/>
            <w:r>
              <w:rPr>
                <w:sz w:val="20"/>
                <w:szCs w:val="20"/>
              </w:rPr>
              <w:t>Silver</w:t>
            </w:r>
            <w:proofErr w:type="gramEnd"/>
            <w:r>
              <w:rPr>
                <w:sz w:val="20"/>
                <w:szCs w:val="20"/>
              </w:rPr>
              <w:t xml:space="preserve"> normalization and T₀–T₆ delta computation, Gold de-identification pipeline, Platinum infrastructure per FI tenant</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62A55B34" w14:textId="77777777" w:rsidR="00F2029F" w:rsidRDefault="00000000">
            <w:r>
              <w:rPr>
                <w:sz w:val="20"/>
                <w:szCs w:val="20"/>
              </w:rPr>
              <w:t>Full historical event graph available; Silver analytics operational</w:t>
            </w:r>
          </w:p>
        </w:tc>
      </w:tr>
      <w:tr w:rsidR="00F2029F" w14:paraId="120301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DE8049" w14:textId="77777777" w:rsidR="00F2029F" w:rsidRDefault="00000000">
            <w:r>
              <w:rPr>
                <w:b/>
                <w:bCs/>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EC5931" w14:textId="77777777" w:rsidR="00F2029F" w:rsidRDefault="00000000">
            <w:r>
              <w:rPr>
                <w:sz w:val="20"/>
                <w:szCs w:val="20"/>
              </w:rPr>
              <w:t>Q3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6A390" w14:textId="77777777" w:rsidR="00F2029F" w:rsidRDefault="00000000">
            <w:r>
              <w:rPr>
                <w:sz w:val="20"/>
                <w:szCs w:val="20"/>
              </w:rPr>
              <w:t xml:space="preserve">Foundation model pre-training on </w:t>
            </w:r>
            <w:proofErr w:type="gramStart"/>
            <w:r>
              <w:rPr>
                <w:sz w:val="20"/>
                <w:szCs w:val="20"/>
              </w:rPr>
              <w:t>Gold</w:t>
            </w:r>
            <w:proofErr w:type="gramEnd"/>
            <w:r>
              <w:rPr>
                <w:sz w:val="20"/>
                <w:szCs w:val="20"/>
              </w:rPr>
              <w:t xml:space="preserve"> layer; cross-rail backbone validation and benchmarking; </w:t>
            </w:r>
            <w:proofErr w:type="spellStart"/>
            <w:r>
              <w:rPr>
                <w:sz w:val="20"/>
                <w:szCs w:val="20"/>
              </w:rPr>
              <w:t>LoRA</w:t>
            </w:r>
            <w:proofErr w:type="spellEnd"/>
            <w:r>
              <w:rPr>
                <w:sz w:val="20"/>
                <w:szCs w:val="20"/>
              </w:rPr>
              <w:t xml:space="preserve"> adapter framework implementation; baseline accuracy measurement vs. FI-local models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5DA155" w14:textId="77777777" w:rsidR="00F2029F" w:rsidRDefault="00000000">
            <w:r>
              <w:rPr>
                <w:sz w:val="20"/>
                <w:szCs w:val="20"/>
              </w:rPr>
              <w:t>Backbone beats FI-local model baseline on held-out test sets</w:t>
            </w:r>
          </w:p>
        </w:tc>
      </w:tr>
      <w:tr w:rsidR="00F2029F" w14:paraId="6A4891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185AEB13" w14:textId="77777777" w:rsidR="00F2029F" w:rsidRDefault="00000000">
            <w:r>
              <w:rPr>
                <w:b/>
                <w:bCs/>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72F8F305" w14:textId="77777777" w:rsidR="00F2029F" w:rsidRDefault="00000000">
            <w:r>
              <w:rPr>
                <w:sz w:val="20"/>
                <w:szCs w:val="20"/>
              </w:rPr>
              <w:t>Q4</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538FECB8" w14:textId="77777777" w:rsidR="00F2029F" w:rsidRDefault="00000000">
            <w:r>
              <w:rPr>
                <w:sz w:val="20"/>
                <w:szCs w:val="20"/>
              </w:rPr>
              <w:t>Per-FI fine-tuning pipeline deployment; fraud, return, and liquidity prediction heads; inference serving in Platinum; Contributor tier FI onboarding; DPA execution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537929E1" w14:textId="77777777" w:rsidR="00F2029F" w:rsidRDefault="00000000">
            <w:r>
              <w:rPr>
                <w:sz w:val="20"/>
                <w:szCs w:val="20"/>
              </w:rPr>
              <w:t>Contributor FIs in production with fine-tuned heads; measurable fraud detection lift</w:t>
            </w:r>
          </w:p>
        </w:tc>
      </w:tr>
      <w:tr w:rsidR="00F2029F" w14:paraId="0BED33C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F64F86" w14:textId="77777777" w:rsidR="00F2029F" w:rsidRDefault="00000000">
            <w:r>
              <w:rPr>
                <w:b/>
                <w:bCs/>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55C244" w14:textId="77777777" w:rsidR="00F2029F" w:rsidRDefault="00000000">
            <w:r>
              <w:rPr>
                <w:sz w:val="20"/>
                <w:szCs w:val="20"/>
              </w:rPr>
              <w:t>Q1 Y2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0A6479" w14:textId="77777777" w:rsidR="00F2029F" w:rsidRDefault="00000000">
            <w:r>
              <w:rPr>
                <w:sz w:val="20"/>
                <w:szCs w:val="20"/>
              </w:rPr>
              <w:t>Federated learning protocol (DP-SGD); Secure Aggregation (SMPC); Observer tier on-ramp; privacy budget dashboards; Byzantine-tolerant aggregation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ABD5185" w14:textId="77777777" w:rsidR="00F2029F" w:rsidRDefault="00000000">
            <w:r>
              <w:rPr>
                <w:sz w:val="20"/>
                <w:szCs w:val="20"/>
              </w:rPr>
              <w:t>Federated FIs contributing gradients; full three-tier participation model live</w:t>
            </w:r>
          </w:p>
        </w:tc>
      </w:tr>
    </w:tbl>
    <w:p w14:paraId="25E95388" w14:textId="77777777" w:rsidR="00F2029F" w:rsidRDefault="00F2029F">
      <w:pPr>
        <w:spacing w:before="240"/>
      </w:pPr>
    </w:p>
    <w:p w14:paraId="03365F41" w14:textId="77777777" w:rsidR="00F2029F" w:rsidRDefault="00000000">
      <w:pPr>
        <w:pStyle w:val="Heading2"/>
      </w:pPr>
      <w:bookmarkStart w:id="26" w:name="_Toc223543526"/>
      <w:r>
        <w:t>7.1 Open Research Problems</w:t>
      </w:r>
      <w:bookmarkEnd w:id="26"/>
    </w:p>
    <w:p w14:paraId="57F0E1BB" w14:textId="77777777" w:rsidR="00F2029F" w:rsidRDefault="00000000">
      <w:pPr>
        <w:spacing w:before="60" w:after="120"/>
      </w:pPr>
      <w:r>
        <w:t>Several technical problems merit further investigation before or during implementation:</w:t>
      </w:r>
    </w:p>
    <w:p w14:paraId="4F10A7B7" w14:textId="77777777" w:rsidR="00F2029F" w:rsidRDefault="00000000">
      <w:pPr>
        <w:pStyle w:val="ListParagraph"/>
        <w:numPr>
          <w:ilvl w:val="0"/>
          <w:numId w:val="2"/>
        </w:numPr>
        <w:spacing w:before="40" w:after="40"/>
      </w:pPr>
      <w:r>
        <w:t xml:space="preserve">Non-IID federation: Optimal </w:t>
      </w:r>
      <w:proofErr w:type="spellStart"/>
      <w:r>
        <w:t>FedProx</w:t>
      </w:r>
      <w:proofErr w:type="spellEnd"/>
      <w:r>
        <w:t xml:space="preserve"> or SCAFFOLD hyperparameters for Jack Henry's specific FI distribution heterogeneity require empirical tuning on the actual data distribution.</w:t>
      </w:r>
    </w:p>
    <w:p w14:paraId="4CFEEDB9" w14:textId="77777777" w:rsidR="00F2029F" w:rsidRDefault="00000000">
      <w:pPr>
        <w:pStyle w:val="ListParagraph"/>
        <w:numPr>
          <w:ilvl w:val="0"/>
          <w:numId w:val="2"/>
        </w:numPr>
        <w:spacing w:before="40" w:after="40"/>
      </w:pPr>
      <w:r>
        <w:t>Privacy budget allocation: The optimal ε setting balances privacy protection against model utility. Empirical studies on Jack Henry's payment data are needed to characterize the utility-privacy tradeoff curve.</w:t>
      </w:r>
    </w:p>
    <w:p w14:paraId="6AF2AEAB" w14:textId="77777777" w:rsidR="00F2029F" w:rsidRDefault="00000000">
      <w:pPr>
        <w:pStyle w:val="ListParagraph"/>
        <w:numPr>
          <w:ilvl w:val="0"/>
          <w:numId w:val="2"/>
        </w:numPr>
        <w:spacing w:before="40" w:after="40"/>
      </w:pPr>
      <w:r>
        <w:t>Cold-start characterization: How many local transaction days are needed before a Federated FI's gradient contributions meaningfully improve backbone accuracy? This should be measured per rail type.</w:t>
      </w:r>
    </w:p>
    <w:p w14:paraId="7B23B580" w14:textId="77777777" w:rsidR="00F2029F" w:rsidRDefault="00000000">
      <w:pPr>
        <w:pStyle w:val="ListParagraph"/>
        <w:numPr>
          <w:ilvl w:val="0"/>
          <w:numId w:val="2"/>
        </w:numPr>
        <w:spacing w:before="40" w:after="40"/>
      </w:pPr>
      <w:r>
        <w:t>Backbone architecture: The optimal transformer configuration (attention heads, layers, embedding dimension) for the payment event sequence modality needs empirical validation. Financial time-series transformers from the literature provide a starting point.</w:t>
      </w:r>
    </w:p>
    <w:p w14:paraId="23F6F88C" w14:textId="77777777" w:rsidR="00F2029F" w:rsidRDefault="00000000">
      <w:r>
        <w:br w:type="page"/>
      </w:r>
    </w:p>
    <w:p w14:paraId="54A9CEE0" w14:textId="77777777" w:rsidR="00F2029F" w:rsidRDefault="00000000">
      <w:pPr>
        <w:pStyle w:val="Heading1"/>
      </w:pPr>
      <w:bookmarkStart w:id="27" w:name="_Toc223543527"/>
      <w:r>
        <w:lastRenderedPageBreak/>
        <w:t>8. Conclusion</w:t>
      </w:r>
      <w:bookmarkEnd w:id="27"/>
    </w:p>
    <w:p w14:paraId="1172542D" w14:textId="77777777" w:rsidR="00F2029F" w:rsidRDefault="00000000">
      <w:pPr>
        <w:spacing w:before="60" w:after="120"/>
      </w:pPr>
      <w:r>
        <w:t>The architecture described in this whitepaper reframes the question of payment intelligence from 'how does each FI build better models alone?' to 'how does the network learn collectively while each FI retains full data sovereignty?' The answer is a combination of mature techniques — federated learning, differential privacy, secure aggregation, and low-rank adaptation — applied with architectural clarity to the specific structure of payment event data.</w:t>
      </w:r>
    </w:p>
    <w:p w14:paraId="6A13EBEE" w14:textId="77777777" w:rsidR="00F2029F" w:rsidRDefault="00000000">
      <w:pPr>
        <w:spacing w:before="60" w:after="120"/>
      </w:pPr>
      <w:r>
        <w:t xml:space="preserve">The tiered participation model is essential to adoption. No FI should be required to choose between intelligence benefits and data sovereignty. Contributor, Federated, and Observer tiers offer a spectrum from full participation to zero sharing, with the privacy guarantees becoming increasingly mathematical as sharing decreases. The Federated tier </w:t>
      </w:r>
      <w:proofErr w:type="gramStart"/>
      <w:r>
        <w:t>in particular provides</w:t>
      </w:r>
      <w:proofErr w:type="gramEnd"/>
      <w:r>
        <w:t xml:space="preserve"> a path for FIs with the most stringent data governance requirements to participate in collective intelligence without any payment data ever leaving their environment.</w:t>
      </w:r>
    </w:p>
    <w:p w14:paraId="194F0266" w14:textId="77777777" w:rsidR="00F2029F" w:rsidRDefault="00000000">
      <w:pPr>
        <w:spacing w:before="60" w:after="120"/>
      </w:pPr>
      <w:r>
        <w:t>The Platinum layer's positioning — above the platform boundary, under FI control — provides the clearest possible narrative for FI security and compliance teams: Jack Henry provides infrastructure, but the intelligence belongs to the FI. The fine-tuned models, the enriched payment views, and the inference outputs are the FI's sovereign assets, never accessible to the platform without explicit authorization.</w:t>
      </w:r>
    </w:p>
    <w:p w14:paraId="071BBCFA" w14:textId="77777777" w:rsidR="00F2029F" w:rsidRDefault="00000000">
      <w:pPr>
        <w:spacing w:before="60" w:after="120"/>
      </w:pPr>
      <w:r>
        <w:t>As the network grows — as more FIs contribute at each tier — the backbone becomes more powerful, and the value of participation increases for all. This positive-sum dynamic is the defining characteristic of a well-designed intelligence fabric, and it is the foundation on which this architecture is built.</w:t>
      </w:r>
    </w:p>
    <w:p w14:paraId="4E2D85F5" w14:textId="77777777" w:rsidR="00F2029F" w:rsidRDefault="00F2029F">
      <w:pPr>
        <w:pBdr>
          <w:bottom w:val="single" w:sz="6" w:space="1" w:color="1B3A6E"/>
        </w:pBdr>
        <w:spacing w:before="160" w:after="160"/>
      </w:pPr>
    </w:p>
    <w:p w14:paraId="4378D841" w14:textId="77777777" w:rsidR="00F2029F" w:rsidRDefault="00000000">
      <w:pPr>
        <w:spacing w:before="60" w:after="120"/>
      </w:pPr>
      <w:r>
        <w:rPr>
          <w:i/>
          <w:iCs/>
          <w:color w:val="444444"/>
        </w:rPr>
        <w:t xml:space="preserve">Jack Henry &amp; </w:t>
      </w:r>
      <w:proofErr w:type="gramStart"/>
      <w:r>
        <w:rPr>
          <w:i/>
          <w:iCs/>
          <w:color w:val="444444"/>
        </w:rPr>
        <w:t>Associates  |</w:t>
      </w:r>
      <w:proofErr w:type="gramEnd"/>
      <w:r>
        <w:rPr>
          <w:i/>
          <w:iCs/>
          <w:color w:val="444444"/>
        </w:rPr>
        <w:t xml:space="preserve">  </w:t>
      </w:r>
      <w:proofErr w:type="gramStart"/>
      <w:r>
        <w:rPr>
          <w:i/>
          <w:iCs/>
          <w:color w:val="444444"/>
        </w:rPr>
        <w:t>Confidential  |</w:t>
      </w:r>
      <w:proofErr w:type="gramEnd"/>
      <w:r>
        <w:rPr>
          <w:i/>
          <w:iCs/>
          <w:color w:val="444444"/>
        </w:rPr>
        <w:t xml:space="preserve">  2025</w:t>
      </w:r>
    </w:p>
    <w:p w14:paraId="0E0CFDB3" w14:textId="77777777" w:rsidR="00F2029F" w:rsidRDefault="00000000">
      <w:pPr>
        <w:spacing w:before="60" w:after="120"/>
      </w:pPr>
      <w:r>
        <w:rPr>
          <w:i/>
          <w:iCs/>
          <w:color w:val="444444"/>
        </w:rPr>
        <w:t>This document contains proprietary and confidential information of Jack Henry &amp; Associates. Distribution is restricted to authorized recipients only.</w:t>
      </w:r>
    </w:p>
    <w:sectPr w:rsidR="00F2029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8A79F" w14:textId="77777777" w:rsidR="00E42FB6" w:rsidRDefault="00E42FB6">
      <w:r>
        <w:separator/>
      </w:r>
    </w:p>
  </w:endnote>
  <w:endnote w:type="continuationSeparator" w:id="0">
    <w:p w14:paraId="3110254F" w14:textId="77777777" w:rsidR="00E42FB6" w:rsidRDefault="00E42F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2637B" w14:textId="77777777" w:rsidR="00F2029F" w:rsidRDefault="00000000">
    <w:pPr>
      <w:pBdr>
        <w:top w:val="single" w:sz="4" w:space="0" w:color="C8972A"/>
      </w:pBdr>
      <w:jc w:val="center"/>
    </w:pPr>
    <w:r>
      <w:rPr>
        <w:color w:val="444444"/>
        <w:sz w:val="18"/>
        <w:szCs w:val="18"/>
      </w:rPr>
      <w:t xml:space="preserve">Confidential — Jack Henry &amp; </w:t>
    </w:r>
    <w:proofErr w:type="gramStart"/>
    <w:r>
      <w:rPr>
        <w:color w:val="444444"/>
        <w:sz w:val="18"/>
        <w:szCs w:val="18"/>
      </w:rPr>
      <w:t>Associates  |</w:t>
    </w:r>
    <w:proofErr w:type="gramEnd"/>
    <w:r>
      <w:rPr>
        <w:color w:val="444444"/>
        <w:sz w:val="18"/>
        <w:szCs w:val="18"/>
      </w:rPr>
      <w:t xml:space="preserve">  Page </w:t>
    </w:r>
    <w:r>
      <w:rPr>
        <w:color w:val="444444"/>
        <w:sz w:val="18"/>
        <w:szCs w:val="18"/>
      </w:rPr>
      <w:fldChar w:fldCharType="begin"/>
    </w:r>
    <w:r>
      <w:rPr>
        <w:color w:val="444444"/>
        <w:sz w:val="18"/>
        <w:szCs w:val="18"/>
      </w:rPr>
      <w:instrText>PAGE</w:instrText>
    </w:r>
    <w:r>
      <w:rPr>
        <w:color w:val="444444"/>
        <w:sz w:val="18"/>
        <w:szCs w:val="18"/>
      </w:rPr>
      <w:fldChar w:fldCharType="separate"/>
    </w:r>
    <w:r w:rsidR="006474AA">
      <w:rPr>
        <w:noProof/>
        <w:color w:val="444444"/>
        <w:sz w:val="18"/>
        <w:szCs w:val="18"/>
      </w:rPr>
      <w:t>1</w:t>
    </w:r>
    <w:r>
      <w:rPr>
        <w:color w:val="444444"/>
        <w:sz w:val="18"/>
        <w:szCs w:val="18"/>
      </w:rPr>
      <w:fldChar w:fldCharType="end"/>
    </w:r>
    <w:r>
      <w:rPr>
        <w:color w:val="444444"/>
        <w:sz w:val="18"/>
        <w:szCs w:val="18"/>
      </w:rPr>
      <w:t xml:space="preserve"> of </w:t>
    </w:r>
    <w:r>
      <w:rPr>
        <w:color w:val="444444"/>
        <w:sz w:val="18"/>
        <w:szCs w:val="18"/>
      </w:rPr>
      <w:fldChar w:fldCharType="begin"/>
    </w:r>
    <w:r>
      <w:rPr>
        <w:color w:val="444444"/>
        <w:sz w:val="18"/>
        <w:szCs w:val="18"/>
      </w:rPr>
      <w:instrText>NUMPAGES</w:instrText>
    </w:r>
    <w:r>
      <w:rPr>
        <w:color w:val="444444"/>
        <w:sz w:val="18"/>
        <w:szCs w:val="18"/>
      </w:rPr>
      <w:fldChar w:fldCharType="separate"/>
    </w:r>
    <w:r w:rsidR="006474AA">
      <w:rPr>
        <w:noProof/>
        <w:color w:val="444444"/>
        <w:sz w:val="18"/>
        <w:szCs w:val="18"/>
      </w:rPr>
      <w:t>2</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63727" w14:textId="77777777" w:rsidR="00E42FB6" w:rsidRDefault="00E42FB6">
      <w:r>
        <w:separator/>
      </w:r>
    </w:p>
  </w:footnote>
  <w:footnote w:type="continuationSeparator" w:id="0">
    <w:p w14:paraId="26724C3D" w14:textId="77777777" w:rsidR="00E42FB6" w:rsidRDefault="00E42F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056F5" w14:textId="77777777" w:rsidR="00F2029F" w:rsidRDefault="00000000">
    <w:pPr>
      <w:pBdr>
        <w:bottom w:val="single" w:sz="4" w:space="0" w:color="1B3A6E"/>
      </w:pBdr>
    </w:pPr>
    <w:r>
      <w:rPr>
        <w:b/>
        <w:bCs/>
        <w:color w:val="1B3A6E"/>
        <w:sz w:val="18"/>
        <w:szCs w:val="18"/>
      </w:rPr>
      <w:t>Jack Henry &amp; Associates</w:t>
    </w:r>
    <w:r>
      <w:rPr>
        <w:color w:val="444444"/>
        <w:sz w:val="18"/>
        <w:szCs w:val="18"/>
      </w:rPr>
      <w:t xml:space="preserve">   |   Payment Intelligence Foundation Model Architecture — Technical Whitepaper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05619"/>
    <w:multiLevelType w:val="hybridMultilevel"/>
    <w:tmpl w:val="59DA6AEE"/>
    <w:lvl w:ilvl="0" w:tplc="C18003C4">
      <w:start w:val="1"/>
      <w:numFmt w:val="bullet"/>
      <w:lvlText w:val="●"/>
      <w:lvlJc w:val="left"/>
      <w:pPr>
        <w:ind w:left="720" w:hanging="360"/>
      </w:pPr>
    </w:lvl>
    <w:lvl w:ilvl="1" w:tplc="C09A717A">
      <w:start w:val="1"/>
      <w:numFmt w:val="bullet"/>
      <w:lvlText w:val="○"/>
      <w:lvlJc w:val="left"/>
      <w:pPr>
        <w:ind w:left="1440" w:hanging="360"/>
      </w:pPr>
    </w:lvl>
    <w:lvl w:ilvl="2" w:tplc="C6E4CE7E">
      <w:start w:val="1"/>
      <w:numFmt w:val="bullet"/>
      <w:lvlText w:val="■"/>
      <w:lvlJc w:val="left"/>
      <w:pPr>
        <w:ind w:left="2160" w:hanging="360"/>
      </w:pPr>
    </w:lvl>
    <w:lvl w:ilvl="3" w:tplc="5E68241E">
      <w:start w:val="1"/>
      <w:numFmt w:val="bullet"/>
      <w:lvlText w:val="●"/>
      <w:lvlJc w:val="left"/>
      <w:pPr>
        <w:ind w:left="2880" w:hanging="360"/>
      </w:pPr>
    </w:lvl>
    <w:lvl w:ilvl="4" w:tplc="156E5C2A">
      <w:start w:val="1"/>
      <w:numFmt w:val="bullet"/>
      <w:lvlText w:val="○"/>
      <w:lvlJc w:val="left"/>
      <w:pPr>
        <w:ind w:left="3600" w:hanging="360"/>
      </w:pPr>
    </w:lvl>
    <w:lvl w:ilvl="5" w:tplc="1368BA5A">
      <w:start w:val="1"/>
      <w:numFmt w:val="bullet"/>
      <w:lvlText w:val="■"/>
      <w:lvlJc w:val="left"/>
      <w:pPr>
        <w:ind w:left="4320" w:hanging="360"/>
      </w:pPr>
    </w:lvl>
    <w:lvl w:ilvl="6" w:tplc="98FEF4AE">
      <w:start w:val="1"/>
      <w:numFmt w:val="bullet"/>
      <w:lvlText w:val="●"/>
      <w:lvlJc w:val="left"/>
      <w:pPr>
        <w:ind w:left="5040" w:hanging="360"/>
      </w:pPr>
    </w:lvl>
    <w:lvl w:ilvl="7" w:tplc="7F101BE4">
      <w:start w:val="1"/>
      <w:numFmt w:val="bullet"/>
      <w:lvlText w:val="●"/>
      <w:lvlJc w:val="left"/>
      <w:pPr>
        <w:ind w:left="5760" w:hanging="360"/>
      </w:pPr>
    </w:lvl>
    <w:lvl w:ilvl="8" w:tplc="848A1C74">
      <w:start w:val="1"/>
      <w:numFmt w:val="bullet"/>
      <w:lvlText w:val="●"/>
      <w:lvlJc w:val="left"/>
      <w:pPr>
        <w:ind w:left="6480" w:hanging="360"/>
      </w:pPr>
    </w:lvl>
  </w:abstractNum>
  <w:abstractNum w:abstractNumId="1" w15:restartNumberingAfterBreak="0">
    <w:nsid w:val="1712390D"/>
    <w:multiLevelType w:val="hybridMultilevel"/>
    <w:tmpl w:val="ECB8072E"/>
    <w:lvl w:ilvl="0" w:tplc="D1125F94">
      <w:start w:val="1"/>
      <w:numFmt w:val="decimal"/>
      <w:lvlText w:val="%1."/>
      <w:lvlJc w:val="left"/>
      <w:pPr>
        <w:ind w:left="540" w:hanging="360"/>
      </w:pPr>
    </w:lvl>
    <w:lvl w:ilvl="1" w:tplc="1A8E34DE">
      <w:numFmt w:val="decimal"/>
      <w:lvlText w:val=""/>
      <w:lvlJc w:val="left"/>
    </w:lvl>
    <w:lvl w:ilvl="2" w:tplc="8E6EA62A">
      <w:numFmt w:val="decimal"/>
      <w:lvlText w:val=""/>
      <w:lvlJc w:val="left"/>
    </w:lvl>
    <w:lvl w:ilvl="3" w:tplc="2EFCFA4C">
      <w:numFmt w:val="decimal"/>
      <w:lvlText w:val=""/>
      <w:lvlJc w:val="left"/>
    </w:lvl>
    <w:lvl w:ilvl="4" w:tplc="B87E3306">
      <w:numFmt w:val="decimal"/>
      <w:lvlText w:val=""/>
      <w:lvlJc w:val="left"/>
    </w:lvl>
    <w:lvl w:ilvl="5" w:tplc="F192113A">
      <w:numFmt w:val="decimal"/>
      <w:lvlText w:val=""/>
      <w:lvlJc w:val="left"/>
    </w:lvl>
    <w:lvl w:ilvl="6" w:tplc="1AAEECB8">
      <w:numFmt w:val="decimal"/>
      <w:lvlText w:val=""/>
      <w:lvlJc w:val="left"/>
    </w:lvl>
    <w:lvl w:ilvl="7" w:tplc="F7CE2CBC">
      <w:numFmt w:val="decimal"/>
      <w:lvlText w:val=""/>
      <w:lvlJc w:val="left"/>
    </w:lvl>
    <w:lvl w:ilvl="8" w:tplc="80560AAC">
      <w:numFmt w:val="decimal"/>
      <w:lvlText w:val=""/>
      <w:lvlJc w:val="left"/>
    </w:lvl>
  </w:abstractNum>
  <w:abstractNum w:abstractNumId="2" w15:restartNumberingAfterBreak="0">
    <w:nsid w:val="4B024DF0"/>
    <w:multiLevelType w:val="hybridMultilevel"/>
    <w:tmpl w:val="48FA34B8"/>
    <w:lvl w:ilvl="0" w:tplc="DCD2E794">
      <w:start w:val="1"/>
      <w:numFmt w:val="bullet"/>
      <w:lvlText w:val="•"/>
      <w:lvlJc w:val="left"/>
      <w:pPr>
        <w:ind w:left="540" w:hanging="360"/>
      </w:pPr>
    </w:lvl>
    <w:lvl w:ilvl="1" w:tplc="D35C008E">
      <w:numFmt w:val="decimal"/>
      <w:lvlText w:val=""/>
      <w:lvlJc w:val="left"/>
    </w:lvl>
    <w:lvl w:ilvl="2" w:tplc="C546C1C2">
      <w:numFmt w:val="decimal"/>
      <w:lvlText w:val=""/>
      <w:lvlJc w:val="left"/>
    </w:lvl>
    <w:lvl w:ilvl="3" w:tplc="BBEE4272">
      <w:numFmt w:val="decimal"/>
      <w:lvlText w:val=""/>
      <w:lvlJc w:val="left"/>
    </w:lvl>
    <w:lvl w:ilvl="4" w:tplc="907C4E2E">
      <w:numFmt w:val="decimal"/>
      <w:lvlText w:val=""/>
      <w:lvlJc w:val="left"/>
    </w:lvl>
    <w:lvl w:ilvl="5" w:tplc="B8D42302">
      <w:numFmt w:val="decimal"/>
      <w:lvlText w:val=""/>
      <w:lvlJc w:val="left"/>
    </w:lvl>
    <w:lvl w:ilvl="6" w:tplc="5D90CF50">
      <w:numFmt w:val="decimal"/>
      <w:lvlText w:val=""/>
      <w:lvlJc w:val="left"/>
    </w:lvl>
    <w:lvl w:ilvl="7" w:tplc="C148722E">
      <w:numFmt w:val="decimal"/>
      <w:lvlText w:val=""/>
      <w:lvlJc w:val="left"/>
    </w:lvl>
    <w:lvl w:ilvl="8" w:tplc="C1BA8CB0">
      <w:numFmt w:val="decimal"/>
      <w:lvlText w:val=""/>
      <w:lvlJc w:val="left"/>
    </w:lvl>
  </w:abstractNum>
  <w:num w:numId="1" w16cid:durableId="327098529">
    <w:abstractNumId w:val="0"/>
    <w:lvlOverride w:ilvl="0">
      <w:startOverride w:val="1"/>
    </w:lvlOverride>
  </w:num>
  <w:num w:numId="2" w16cid:durableId="10654939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29F"/>
    <w:rsid w:val="00106D86"/>
    <w:rsid w:val="004C4BA4"/>
    <w:rsid w:val="006474AA"/>
    <w:rsid w:val="00E42FB6"/>
    <w:rsid w:val="00F20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641DE7"/>
  <w15:docId w15:val="{735B8E2E-F16C-8B47-AB91-9F8E91815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6E"/>
      <w:sz w:val="36"/>
      <w:szCs w:val="36"/>
    </w:rPr>
  </w:style>
  <w:style w:type="paragraph" w:styleId="Heading2">
    <w:name w:val="heading 2"/>
    <w:uiPriority w:val="9"/>
    <w:unhideWhenUsed/>
    <w:qFormat/>
    <w:pPr>
      <w:spacing w:before="300" w:after="160"/>
      <w:outlineLvl w:val="1"/>
    </w:pPr>
    <w:rPr>
      <w:b/>
      <w:bCs/>
      <w:color w:val="1B3A6E"/>
      <w:sz w:val="28"/>
      <w:szCs w:val="28"/>
    </w:rPr>
  </w:style>
  <w:style w:type="paragraph" w:styleId="Heading3">
    <w:name w:val="heading 3"/>
    <w:uiPriority w:val="9"/>
    <w:unhideWhenUsed/>
    <w:qFormat/>
    <w:pPr>
      <w:spacing w:before="200" w:after="120"/>
      <w:outlineLvl w:val="2"/>
    </w:pPr>
    <w:rPr>
      <w:b/>
      <w:bCs/>
      <w:color w:val="C8972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474AA"/>
    <w:pPr>
      <w:spacing w:after="100"/>
    </w:pPr>
  </w:style>
  <w:style w:type="paragraph" w:styleId="TOC2">
    <w:name w:val="toc 2"/>
    <w:basedOn w:val="Normal"/>
    <w:next w:val="Normal"/>
    <w:autoRedefine/>
    <w:uiPriority w:val="39"/>
    <w:unhideWhenUsed/>
    <w:rsid w:val="006474AA"/>
    <w:pPr>
      <w:spacing w:after="100"/>
      <w:ind w:left="220"/>
    </w:pPr>
  </w:style>
  <w:style w:type="paragraph" w:styleId="TOC3">
    <w:name w:val="toc 3"/>
    <w:basedOn w:val="Normal"/>
    <w:next w:val="Normal"/>
    <w:autoRedefine/>
    <w:uiPriority w:val="39"/>
    <w:unhideWhenUsed/>
    <w:rsid w:val="006474A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14</Pages>
  <Words>3810</Words>
  <Characters>22817</Characters>
  <Application>Microsoft Office Word</Application>
  <DocSecurity>0</DocSecurity>
  <Lines>494</Lines>
  <Paragraphs>218</Paragraphs>
  <ScaleCrop>false</ScaleCrop>
  <Company/>
  <LinksUpToDate>false</LinksUpToDate>
  <CharactersWithSpaces>26465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Ames</cp:lastModifiedBy>
  <cp:revision>2</cp:revision>
  <dcterms:created xsi:type="dcterms:W3CDTF">2026-03-04T20:39:00Z</dcterms:created>
  <dcterms:modified xsi:type="dcterms:W3CDTF">2026-03-05T00:39:00Z</dcterms:modified>
</cp:coreProperties>
</file>