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COBOL Reference Library</w:t>
      </w:r>
    </w:p>
    <w:p>
      <w:pPr>
        <w:jc w:val="center"/>
      </w:pPr>
      <w:r>
        <w:rPr>
          <w:color w:val="2E75B6"/>
          <w:sz w:val="32"/>
        </w:rPr>
        <w:t>Pattern Analysis &amp; Recommended Study Plan</w:t>
      </w:r>
    </w:p>
    <w:p/>
    <w:p>
      <w:pPr>
        <w:jc w:val="center"/>
      </w:pPr>
      <w:r>
        <w:rPr>
          <w:color w:val="595959"/>
          <w:sz w:val="22"/>
        </w:rPr>
        <w:t>Analysis of 8 documents in COBOL_Project / Resources</w:t>
        <w:br/>
        <w:t>Prepared for Vu  •  June 6, 2026</w:t>
      </w:r>
    </w:p>
    <w:p/>
    <w:p>
      <w:pPr>
        <w:pBdr>
          <w:bottom w:val="single" w:sz="6" w:space="1" w:color="2E75B6"/>
        </w:pBdr>
      </w:pPr>
    </w:p>
    <w:p>
      <w:pPr>
        <w:pStyle w:val="Heading1"/>
      </w:pPr>
      <w:r>
        <w:t>Executive Summary</w:t>
      </w:r>
    </w:p>
    <w:p>
      <w:r>
        <w:t>The Resources folder contains eight PDFs rather than personal notes or transcripts: six COBOL textbooks/manuals, one formal language standard, and one 2026 research paper on AI-assisted legacy modernization. Together they span roughly 1985 to 2026 — covering COBOL’s entire modern lifecycle from its ANSI/ISO standardization through to current enterprise tooling and the emerging push to replace it with LLM-generated code.</w:t>
      </w:r>
    </w:p>
    <w:p>
      <w:r>
        <w:t>Five cross-source patterns stood out (Section 3), the most consequential being a roughly 20-year split in how these sources describe COBOL itself, a heavy concentration of every tutorial’s hardest material on indexed/VSAM file handling, and a direct thematic echo between a 1998 IBM chapter on Y2K remediation and the 2026 AgentModernize paper’s approach to legacy-code transformation. A topic-coverage matrix (Section 4) and a phased study plan (Section 5) translate these findings into a concrete reading order.</w:t>
      </w:r>
    </w:p>
    <w:p>
      <w:pPr>
        <w:pStyle w:val="Heading2"/>
      </w:pPr>
      <w:r>
        <w:t>1.1  Library Inventory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736"/>
            <w:shd w:val="clear" w:color="auto" w:fill="1F3A5F"/>
          </w:tcPr>
          <w:p>
            <w:r/>
            <w:r>
              <w:rPr>
                <w:b/>
                <w:color w:val="FFFFFF"/>
                <w:sz w:val="19"/>
              </w:rPr>
              <w:t>Source</w:t>
            </w:r>
          </w:p>
        </w:tc>
        <w:tc>
          <w:tcPr>
            <w:tcW w:type="dxa" w:w="1584"/>
            <w:shd w:val="clear" w:color="auto" w:fill="1F3A5F"/>
          </w:tcPr>
          <w:p>
            <w:r/>
            <w:r>
              <w:rPr>
                <w:b/>
                <w:color w:val="FFFFFF"/>
                <w:sz w:val="19"/>
              </w:rPr>
              <w:t>Type</w:t>
            </w:r>
          </w:p>
        </w:tc>
        <w:tc>
          <w:tcPr>
            <w:tcW w:type="dxa" w:w="1584"/>
            <w:shd w:val="clear" w:color="auto" w:fill="1F3A5F"/>
          </w:tcPr>
          <w:p>
            <w:r/>
            <w:r>
              <w:rPr>
                <w:b/>
                <w:color w:val="FFFFFF"/>
                <w:sz w:val="19"/>
              </w:rPr>
              <w:t>Published / Edition</w:t>
            </w:r>
          </w:p>
        </w:tc>
        <w:tc>
          <w:tcPr>
            <w:tcW w:type="dxa" w:w="1008"/>
            <w:shd w:val="clear" w:color="auto" w:fill="1F3A5F"/>
          </w:tcPr>
          <w:p>
            <w:r/>
            <w:r>
              <w:rPr>
                <w:b/>
                <w:color w:val="FFFFFF"/>
                <w:sz w:val="19"/>
              </w:rPr>
              <w:t>Length</w:t>
            </w:r>
          </w:p>
        </w:tc>
        <w:tc>
          <w:tcPr>
            <w:tcW w:type="dxa" w:w="5040"/>
            <w:shd w:val="clear" w:color="auto" w:fill="1F3A5F"/>
          </w:tcPr>
          <w:p>
            <w:r/>
            <w:r>
              <w:rPr>
                <w:b/>
                <w:color w:val="FFFFFF"/>
                <w:sz w:val="19"/>
              </w:rPr>
              <w:t>Level &amp; Focus</w:t>
            </w:r>
          </w:p>
        </w:tc>
      </w:tr>
      <w:tr>
        <w:tc>
          <w:tcPr>
            <w:tcW w:type="dxa" w:w="2736"/>
          </w:tcPr>
          <w:p>
            <w:r/>
            <w:r>
              <w:rPr>
                <w:b w:val="0"/>
                <w:sz w:val="19"/>
              </w:rPr>
              <w:t>COBOL Programming Fundamental</w:t>
              <w:br/>
              <w:t>(IBM Shanghai)</w:t>
            </w:r>
          </w:p>
        </w:tc>
        <w:tc>
          <w:tcPr>
            <w:tcW w:type="dxa" w:w="1584"/>
          </w:tcPr>
          <w:p>
            <w:r/>
            <w:r>
              <w:rPr>
                <w:b w:val="0"/>
                <w:sz w:val="19"/>
              </w:rPr>
              <w:t>Training slide-deck</w:t>
            </w:r>
          </w:p>
        </w:tc>
        <w:tc>
          <w:tcPr>
            <w:tcW w:type="dxa" w:w="1584"/>
          </w:tcPr>
          <w:p>
            <w:r/>
            <w:r>
              <w:rPr>
                <w:b w:val="0"/>
                <w:sz w:val="19"/>
              </w:rPr>
              <w:t>2004</w:t>
            </w:r>
          </w:p>
        </w:tc>
        <w:tc>
          <w:tcPr>
            <w:tcW w:type="dxa" w:w="1008"/>
          </w:tcPr>
          <w:p>
            <w:r/>
            <w:r>
              <w:rPr>
                <w:b w:val="0"/>
                <w:sz w:val="19"/>
              </w:rPr>
              <w:t>236 pp</w:t>
            </w:r>
          </w:p>
        </w:tc>
        <w:tc>
          <w:tcPr>
            <w:tcW w:type="dxa" w:w="5040"/>
          </w:tcPr>
          <w:p>
            <w:r/>
            <w:r>
              <w:rPr>
                <w:b w:val="0"/>
                <w:sz w:val="19"/>
              </w:rPr>
              <w:t>Beginner. 4-day course: divisions, basics, sequential files, PERFORM, arithmetic, conditions, tables, program design.</w:t>
            </w:r>
          </w:p>
        </w:tc>
      </w:tr>
      <w:tr>
        <w:tc>
          <w:tcPr>
            <w:tcW w:type="dxa" w:w="2736"/>
            <w:shd w:val="clear" w:color="auto" w:fill="F2F5F9"/>
          </w:tcPr>
          <w:p>
            <w:r/>
            <w:r>
              <w:rPr>
                <w:b w:val="0"/>
                <w:sz w:val="19"/>
              </w:rPr>
              <w:t>Teach Yourself COBOL in 21 Days (2nd Ed.)</w:t>
            </w:r>
          </w:p>
        </w:tc>
        <w:tc>
          <w:tcPr>
            <w:tcW w:type="dxa" w:w="1584"/>
            <w:shd w:val="clear" w:color="auto" w:fill="F2F5F9"/>
          </w:tcPr>
          <w:p>
            <w:r/>
            <w:r>
              <w:rPr>
                <w:b w:val="0"/>
                <w:sz w:val="19"/>
              </w:rPr>
              <w:t>Tutorial / textbook</w:t>
            </w:r>
          </w:p>
        </w:tc>
        <w:tc>
          <w:tcPr>
            <w:tcW w:type="dxa" w:w="1584"/>
            <w:shd w:val="clear" w:color="auto" w:fill="F2F5F9"/>
          </w:tcPr>
          <w:p>
            <w:r/>
            <w:r>
              <w:rPr>
                <w:b w:val="0"/>
                <w:sz w:val="19"/>
              </w:rPr>
              <w:t>2000</w:t>
            </w:r>
          </w:p>
        </w:tc>
        <w:tc>
          <w:tcPr>
            <w:tcW w:type="dxa" w:w="1008"/>
            <w:shd w:val="clear" w:color="auto" w:fill="F2F5F9"/>
          </w:tcPr>
          <w:p>
            <w:r/>
            <w:r>
              <w:rPr>
                <w:b w:val="0"/>
                <w:sz w:val="19"/>
              </w:rPr>
              <w:t>1,039 pp</w:t>
            </w:r>
          </w:p>
        </w:tc>
        <w:tc>
          <w:tcPr>
            <w:tcW w:type="dxa" w:w="5040"/>
            <w:shd w:val="clear" w:color="auto" w:fill="F2F5F9"/>
          </w:tcPr>
          <w:p>
            <w:r/>
            <w:r>
              <w:rPr>
                <w:b w:val="0"/>
                <w:sz w:val="19"/>
              </w:rPr>
              <w:t>Beginner→Intermediate. 21-day, 3-week arc; the most thorough progression, esp. on indexed files (4 of 21 days).</w:t>
            </w:r>
          </w:p>
        </w:tc>
      </w:tr>
      <w:tr>
        <w:tc>
          <w:tcPr>
            <w:tcW w:type="dxa" w:w="2736"/>
          </w:tcPr>
          <w:p>
            <w:r/>
            <w:r>
              <w:rPr>
                <w:b w:val="0"/>
                <w:sz w:val="19"/>
              </w:rPr>
              <w:t>Sams Teach Yourself COBOL in 24 Hours</w:t>
            </w:r>
          </w:p>
        </w:tc>
        <w:tc>
          <w:tcPr>
            <w:tcW w:type="dxa" w:w="1584"/>
          </w:tcPr>
          <w:p>
            <w:r/>
            <w:r>
              <w:rPr>
                <w:b w:val="0"/>
                <w:sz w:val="19"/>
              </w:rPr>
              <w:t>Tutorial / textbook</w:t>
            </w:r>
          </w:p>
        </w:tc>
        <w:tc>
          <w:tcPr>
            <w:tcW w:type="dxa" w:w="1584"/>
          </w:tcPr>
          <w:p>
            <w:r/>
            <w:r>
              <w:rPr>
                <w:b w:val="0"/>
                <w:sz w:val="19"/>
              </w:rPr>
              <w:t>2008</w:t>
            </w:r>
          </w:p>
        </w:tc>
        <w:tc>
          <w:tcPr>
            <w:tcW w:type="dxa" w:w="1008"/>
          </w:tcPr>
          <w:p>
            <w:r/>
            <w:r>
              <w:rPr>
                <w:b w:val="0"/>
                <w:sz w:val="19"/>
              </w:rPr>
              <w:t>579 pp</w:t>
            </w:r>
          </w:p>
        </w:tc>
        <w:tc>
          <w:tcPr>
            <w:tcW w:type="dxa" w:w="5040"/>
          </w:tcPr>
          <w:p>
            <w:r/>
            <w:r>
              <w:rPr>
                <w:b w:val="0"/>
                <w:sz w:val="19"/>
              </w:rPr>
              <w:t>Beginner→Intermediate. 24-hour, 2-part arc; adds Screen Section/GUI coverage the other tutorials skip.</w:t>
            </w:r>
          </w:p>
        </w:tc>
      </w:tr>
      <w:tr>
        <w:tc>
          <w:tcPr>
            <w:tcW w:type="dxa" w:w="2736"/>
            <w:shd w:val="clear" w:color="auto" w:fill="F2F5F9"/>
          </w:tcPr>
          <w:p>
            <w:r/>
            <w:r>
              <w:rPr>
                <w:b w:val="0"/>
                <w:sz w:val="19"/>
              </w:rPr>
              <w:t>COBOL Programming with VSCode</w:t>
            </w:r>
          </w:p>
        </w:tc>
        <w:tc>
          <w:tcPr>
            <w:tcW w:type="dxa" w:w="1584"/>
            <w:shd w:val="clear" w:color="auto" w:fill="F2F5F9"/>
          </w:tcPr>
          <w:p>
            <w:r/>
            <w:r>
              <w:rPr>
                <w:b w:val="0"/>
                <w:sz w:val="19"/>
              </w:rPr>
              <w:t>Modern how-to guide</w:t>
            </w:r>
          </w:p>
        </w:tc>
        <w:tc>
          <w:tcPr>
            <w:tcW w:type="dxa" w:w="1584"/>
            <w:shd w:val="clear" w:color="auto" w:fill="F2F5F9"/>
          </w:tcPr>
          <w:p>
            <w:r/>
            <w:r>
              <w:rPr>
                <w:b w:val="0"/>
                <w:sz w:val="19"/>
              </w:rPr>
              <w:t>2020</w:t>
            </w:r>
          </w:p>
        </w:tc>
        <w:tc>
          <w:tcPr>
            <w:tcW w:type="dxa" w:w="1008"/>
            <w:shd w:val="clear" w:color="auto" w:fill="F2F5F9"/>
          </w:tcPr>
          <w:p>
            <w:r/>
            <w:r>
              <w:rPr>
                <w:b w:val="0"/>
                <w:sz w:val="19"/>
              </w:rPr>
              <w:t>162 pp</w:t>
            </w:r>
          </w:p>
        </w:tc>
        <w:tc>
          <w:tcPr>
            <w:tcW w:type="dxa" w:w="5040"/>
            <w:shd w:val="clear" w:color="auto" w:fill="F2F5F9"/>
          </w:tcPr>
          <w:p>
            <w:r/>
            <w:r>
              <w:rPr>
                <w:b w:val="0"/>
                <w:sz w:val="19"/>
              </w:rPr>
              <w:t>Beginner, tooling-first. Pairs core syntax with VSCode + Z Open Editor/ZOWE/IBM Developer for Z setup.</w:t>
            </w:r>
          </w:p>
        </w:tc>
      </w:tr>
      <w:tr>
        <w:tc>
          <w:tcPr>
            <w:tcW w:type="dxa" w:w="2736"/>
          </w:tcPr>
          <w:p>
            <w:r/>
            <w:r>
              <w:rPr>
                <w:b w:val="0"/>
                <w:sz w:val="19"/>
              </w:rPr>
              <w:t>Enterprise COBOL for z/OS 6.5 — Programming Guide (IBM)</w:t>
            </w:r>
          </w:p>
        </w:tc>
        <w:tc>
          <w:tcPr>
            <w:tcW w:type="dxa" w:w="1584"/>
          </w:tcPr>
          <w:p>
            <w:r/>
            <w:r>
              <w:rPr>
                <w:b w:val="0"/>
                <w:sz w:val="19"/>
              </w:rPr>
              <w:t>Official reference manual</w:t>
            </w:r>
          </w:p>
        </w:tc>
        <w:tc>
          <w:tcPr>
            <w:tcW w:type="dxa" w:w="1584"/>
          </w:tcPr>
          <w:p>
            <w:r/>
            <w:r>
              <w:rPr>
                <w:b w:val="0"/>
                <w:sz w:val="19"/>
              </w:rPr>
              <w:t>Current ed. (6.5)</w:t>
            </w:r>
          </w:p>
        </w:tc>
        <w:tc>
          <w:tcPr>
            <w:tcW w:type="dxa" w:w="1008"/>
          </w:tcPr>
          <w:p>
            <w:r/>
            <w:r>
              <w:rPr>
                <w:b w:val="0"/>
                <w:sz w:val="19"/>
              </w:rPr>
              <w:t>1,134 pp</w:t>
            </w:r>
          </w:p>
        </w:tc>
        <w:tc>
          <w:tcPr>
            <w:tcW w:type="dxa" w:w="5040"/>
          </w:tcPr>
          <w:p>
            <w:r/>
            <w:r>
              <w:rPr>
                <w:b w:val="0"/>
                <w:sz w:val="19"/>
              </w:rPr>
              <w:t>Reference, all levels. Most comprehensive and most current: OO COBOL, CICS/Db2/IMS, AMODE 64, Web Services &amp; JSON.</w:t>
            </w:r>
          </w:p>
        </w:tc>
      </w:tr>
      <w:tr>
        <w:tc>
          <w:tcPr>
            <w:tcW w:type="dxa" w:w="2736"/>
            <w:shd w:val="clear" w:color="auto" w:fill="F2F5F9"/>
          </w:tcPr>
          <w:p>
            <w:r/>
            <w:r>
              <w:rPr>
                <w:b w:val="0"/>
                <w:sz w:val="19"/>
              </w:rPr>
              <w:t>IBM COBOL Set for AIX — Programming Guide (IGYA1MST)</w:t>
            </w:r>
          </w:p>
        </w:tc>
        <w:tc>
          <w:tcPr>
            <w:tcW w:type="dxa" w:w="1584"/>
            <w:shd w:val="clear" w:color="auto" w:fill="F2F5F9"/>
          </w:tcPr>
          <w:p>
            <w:r/>
            <w:r>
              <w:rPr>
                <w:b w:val="0"/>
                <w:sz w:val="19"/>
              </w:rPr>
              <w:t>Official reference manual</w:t>
            </w:r>
          </w:p>
        </w:tc>
        <w:tc>
          <w:tcPr>
            <w:tcW w:type="dxa" w:w="1584"/>
            <w:shd w:val="clear" w:color="auto" w:fill="F2F5F9"/>
          </w:tcPr>
          <w:p>
            <w:r/>
            <w:r>
              <w:rPr>
                <w:b w:val="0"/>
                <w:sz w:val="19"/>
              </w:rPr>
              <w:t>1998 (6th ed.)</w:t>
            </w:r>
          </w:p>
        </w:tc>
        <w:tc>
          <w:tcPr>
            <w:tcW w:type="dxa" w:w="1008"/>
            <w:shd w:val="clear" w:color="auto" w:fill="F2F5F9"/>
          </w:tcPr>
          <w:p>
            <w:r/>
            <w:r>
              <w:rPr>
                <w:b w:val="0"/>
                <w:sz w:val="19"/>
              </w:rPr>
              <w:t>641 pp</w:t>
            </w:r>
          </w:p>
        </w:tc>
        <w:tc>
          <w:tcPr>
            <w:tcW w:type="dxa" w:w="5040"/>
            <w:shd w:val="clear" w:color="auto" w:fill="F2F5F9"/>
          </w:tcPr>
          <w:p>
            <w:r/>
            <w:r>
              <w:rPr>
                <w:b w:val="0"/>
                <w:sz w:val="19"/>
              </w:rPr>
              <w:t>Reference, AIX platform. 29 chapters incl. OO conversion, SOM, Y2K remediation — a snapshot of late-1990s concerns.</w:t>
            </w:r>
          </w:p>
        </w:tc>
      </w:tr>
      <w:tr>
        <w:tc>
          <w:tcPr>
            <w:tcW w:type="dxa" w:w="2736"/>
          </w:tcPr>
          <w:p>
            <w:r/>
            <w:r>
              <w:rPr>
                <w:b w:val="0"/>
                <w:sz w:val="19"/>
              </w:rPr>
              <w:t>FIPS PUB 21-2 / ANSI X3.23-1985 / ISO 1989-1985</w:t>
            </w:r>
          </w:p>
        </w:tc>
        <w:tc>
          <w:tcPr>
            <w:tcW w:type="dxa" w:w="1584"/>
          </w:tcPr>
          <w:p>
            <w:r/>
            <w:r>
              <w:rPr>
                <w:b w:val="0"/>
                <w:sz w:val="19"/>
              </w:rPr>
              <w:t>Formal language standard</w:t>
            </w:r>
          </w:p>
        </w:tc>
        <w:tc>
          <w:tcPr>
            <w:tcW w:type="dxa" w:w="1584"/>
          </w:tcPr>
          <w:p>
            <w:r/>
            <w:r>
              <w:rPr>
                <w:b w:val="0"/>
                <w:sz w:val="19"/>
              </w:rPr>
              <w:t>1985 std. (2017/2022 reprint)</w:t>
            </w:r>
          </w:p>
        </w:tc>
        <w:tc>
          <w:tcPr>
            <w:tcW w:type="dxa" w:w="1008"/>
          </w:tcPr>
          <w:p>
            <w:r/>
            <w:r>
              <w:rPr>
                <w:b w:val="0"/>
                <w:sz w:val="19"/>
              </w:rPr>
              <w:t>824 pp</w:t>
            </w:r>
          </w:p>
        </w:tc>
        <w:tc>
          <w:tcPr>
            <w:tcW w:type="dxa" w:w="5040"/>
          </w:tcPr>
          <w:p>
            <w:r/>
            <w:r>
              <w:rPr>
                <w:b w:val="0"/>
                <w:sz w:val="19"/>
              </w:rPr>
              <w:t>Reference, formal grammar. The authoritative COBOL-85 specification — not a teaching text; consult by section as needed.</w:t>
            </w:r>
          </w:p>
        </w:tc>
      </w:tr>
      <w:tr>
        <w:tc>
          <w:tcPr>
            <w:tcW w:type="dxa" w:w="2736"/>
            <w:shd w:val="clear" w:color="auto" w:fill="F2F5F9"/>
          </w:tcPr>
          <w:p>
            <w:r/>
            <w:r>
              <w:rPr>
                <w:b w:val="0"/>
                <w:sz w:val="19"/>
              </w:rPr>
              <w:t>AgentModernize (arXiv preprint)</w:t>
            </w:r>
          </w:p>
        </w:tc>
        <w:tc>
          <w:tcPr>
            <w:tcW w:type="dxa" w:w="1584"/>
            <w:shd w:val="clear" w:color="auto" w:fill="F2F5F9"/>
          </w:tcPr>
          <w:p>
            <w:r/>
            <w:r>
              <w:rPr>
                <w:b w:val="0"/>
                <w:sz w:val="19"/>
              </w:rPr>
              <w:t>Research paper</w:t>
            </w:r>
          </w:p>
        </w:tc>
        <w:tc>
          <w:tcPr>
            <w:tcW w:type="dxa" w:w="1584"/>
            <w:shd w:val="clear" w:color="auto" w:fill="F2F5F9"/>
          </w:tcPr>
          <w:p>
            <w:r/>
            <w:r>
              <w:rPr>
                <w:b w:val="0"/>
                <w:sz w:val="19"/>
              </w:rPr>
              <w:t>2026</w:t>
            </w:r>
          </w:p>
        </w:tc>
        <w:tc>
          <w:tcPr>
            <w:tcW w:type="dxa" w:w="1008"/>
            <w:shd w:val="clear" w:color="auto" w:fill="F2F5F9"/>
          </w:tcPr>
          <w:p>
            <w:r/>
            <w:r>
              <w:rPr>
                <w:b w:val="0"/>
                <w:sz w:val="19"/>
              </w:rPr>
              <w:t>11 pp</w:t>
            </w:r>
          </w:p>
        </w:tc>
        <w:tc>
          <w:tcPr>
            <w:tcW w:type="dxa" w:w="5040"/>
            <w:shd w:val="clear" w:color="auto" w:fill="F2F5F9"/>
          </w:tcPr>
          <w:p>
            <w:r/>
            <w:r>
              <w:rPr>
                <w:b w:val="0"/>
                <w:sz w:val="19"/>
              </w:rPr>
              <w:t>Research. Multi-agent LLM framework for translating legacy COBOL/PL-SQL to modern code while preserving business logic.</w:t>
            </w:r>
          </w:p>
        </w:tc>
      </w:tr>
    </w:tbl>
    <w:p/>
    <w:p>
      <w:r>
        <w:t>Note: classifications above are based on each document’s table of contents, metadata, and sampled sections — not a cover-to-cover read of all ~6,500 pages. Treat the level/focus descriptions as a navigational starting point, not a final verdict on content quality.</w:t>
      </w:r>
    </w:p>
    <w:p>
      <w:r>
        <w:br w:type="page"/>
      </w:r>
    </w:p>
    <w:p>
      <w:pPr>
        <w:pStyle w:val="Heading1"/>
      </w:pPr>
      <w:r>
        <w:t>2. Top Patterns Across the Library</w:t>
      </w:r>
    </w:p>
    <w:p>
      <w:r>
        <w:t>Five patterns emerged from comparing tables of contents, chapter structure, publication dates, and framing language across all eight documents.</w:t>
      </w:r>
    </w:p>
    <w:p>
      <w:pPr>
        <w:pStyle w:val="Heading2"/>
      </w:pPr>
      <w:r>
        <w:t>Pattern 1 — The "first week" is taught four times over</w:t>
      </w:r>
    </w:p>
    <w:p>
      <w:r>
        <w:t>Four of the eight sources independently re-teach essentially the same on-ramp: the four divisions, basic data types and PICTURE clauses, IF/EVALUATE conditionals, and PERFORM loops. If your goal is breadth across sources rather than depth in any one, this is where the most redundant hours live.</w:t>
      </w:r>
    </w:p>
    <w:p>
      <w:pPr>
        <w:pStyle w:val="ListBullet"/>
      </w:pPr>
      <w:r>
        <w:t>"21 Days" Days 1–7 ("Your First COBOL Program" through "Basics of Design") covers the same ground as…</w:t>
      </w:r>
    </w:p>
    <w:p>
      <w:pPr>
        <w:pStyle w:val="ListBullet"/>
      </w:pPr>
      <w:r>
        <w:t>"24 Hours" Hours 1–11 (Getting Started → Advanced PERFORM) and…</w:t>
      </w:r>
    </w:p>
    <w:p>
      <w:pPr>
        <w:pStyle w:val="ListBullet"/>
      </w:pPr>
      <w:r>
        <w:t>"COBOL Programming with VSCode" Chapters 4–12 (Basic COBOL, Data Division, Conditional/Arithmetic Expressions, Data Types) and…</w:t>
      </w:r>
    </w:p>
    <w:p>
      <w:pPr>
        <w:pStyle w:val="ListBullet"/>
      </w:pPr>
      <w:r>
        <w:t>"COBOL Programming Fundamental" Days 1–2 ("Introduction to COBOL," "COBOL Basics 1 &amp; 2") — a condensed, slide-based version of the same four topics.</w:t>
      </w:r>
    </w:p>
    <w:p>
      <w:pPr>
        <w:pStyle w:val="Heading2"/>
      </w:pPr>
      <w:r>
        <w:t>Pattern 2 — A ~20-year fault line in "what COBOL even is"</w:t>
      </w:r>
    </w:p>
    <w:p>
      <w:r>
        <w:t>The collection splits cleanly by publication era, and the two eras describe almost different languages. The four older teaching texts (1998–2008) frame COBOL as a batch, mainframe, sequential/indexed-file language compiled through ISPF-style workflows. The two newest reference sources (2020 and the current Enterprise COBOL 6.5 guide) describe a COBOL that does object-oriented programming, runs in 64-bit address mode, talks to web services in JSON, and is edited in VSCode. Neither vocabulary appears in the other era’s texts.</w:t>
      </w:r>
    </w:p>
    <w:p>
      <w:pPr>
        <w:pStyle w:val="ListBullet"/>
      </w:pPr>
      <w:r>
        <w:t>Enterprise COBOL 6.5 Guide devotes Chapters 35–37 entirely to "Web Services interface," "Processing JSON input," and "Producing JSON output" — concepts absent from "21 Days," "24 Hours," "Fundamental," and the 1998 AIX guide.</w:t>
      </w:r>
    </w:p>
    <w:p>
      <w:pPr>
        <w:pStyle w:val="ListBullet"/>
      </w:pPr>
      <w:r>
        <w:t>"COBOL Programming with VSCode" opens with Chapter 1, "Why COBOL?" and Chapter 2 on "VSCode with Z Open Editor and ZOWE extensions" — a framing and toolchain that didn’t exist when "21 Days" (2000) or the AIX guide (1998) were written.</w:t>
      </w:r>
    </w:p>
    <w:p>
      <w:pPr>
        <w:pStyle w:val="ListBullet"/>
      </w:pPr>
      <w:r>
        <w:t>The Enterprise COBOL 6.5 Guide also carries chapters on AMODE 64 applications (Ch. 19, 27) and DLL/multithreading (Ch. 31–32) — infrastructure concerns that simply aren’t part of the older tutorials’ vocabulary.</w:t>
      </w:r>
    </w:p>
    <w:p>
      <w:pPr>
        <w:pStyle w:val="Heading2"/>
      </w:pPr>
      <w:r>
        <w:t>Pattern 3 — Indexed / VSAM file handling is everyone’s "hard part"</w:t>
      </w:r>
    </w:p>
    <w:p>
      <w:r>
        <w:t>Every tutorial-style source allocates a disproportionate share of its length to indexed and VSAM file processing — far more than to any other single topic after the basics. That consistency, repeated independently across four different authors and three decades, is a reasonably strong signal about where the real conceptual difficulty (and the real workplace value) sits in practical COBOL.</w:t>
      </w:r>
    </w:p>
    <w:p>
      <w:pPr>
        <w:pStyle w:val="ListBullet"/>
      </w:pPr>
      <w:r>
        <w:t>"21 Days" gives indexed files 4 of its 21 days — Days 11–14 ("Indexed File I/O," "More on Indexed Files," "Deleting Records and Other Indexed File Operations," "A Review of Indexed Files") — nearly 20% of the entire course.</w:t>
      </w:r>
    </w:p>
    <w:p>
      <w:pPr>
        <w:pStyle w:val="ListBullet"/>
      </w:pPr>
      <w:r>
        <w:t>"24 Hours" mirrors this with 5 of 24 hours — Hours 13–17 covering Sequential Files, Indexed Files, Reading Indexed Files, Updating Indexed Files, and Sorting.</w:t>
      </w:r>
    </w:p>
    <w:p>
      <w:pPr>
        <w:pStyle w:val="ListBullet"/>
      </w:pPr>
      <w:r>
        <w:t>The Enterprise COBOL 6.5 Guide backs this up at the reference level with three dedicated chapters — Ch. 9 "Processing QSAM files," Ch. 10 "Processing VSAM files," Ch. 11 "Processing VSAMDB files" — plus Ch. 13 on sorting/merging.</w:t>
      </w:r>
    </w:p>
    <w:p>
      <w:pPr>
        <w:pStyle w:val="Heading2"/>
      </w:pPr>
      <w:r>
        <w:t>Pattern 4 — The 1998 "Y2K chapter" and the 2026 modernization paper are solving the same problem</w:t>
      </w:r>
    </w:p>
    <w:p>
      <w:r>
        <w:t>This is the most striking cross-document echo in the set. The 1998 IBM AIX guide (IGYA1MST) contains chapters written to help programmers survive a moment of forced, high-stakes legacy transformation — and AgentModernize, 28 years later, frames its entire research contribution around the same underlying anxiety: how do you change legacy COBOL without silently breaking the business rules buried inside it?</w:t>
      </w:r>
    </w:p>
    <w:p>
      <w:pPr>
        <w:pStyle w:val="ListBullet"/>
      </w:pPr>
      <w:r>
        <w:t>IGYA1MST Chapter 28, "The ‘Year 2000’ Problem," and Chapter 29, "Using the Millennium Language Extensions" (1998) — a manual remediation playbook for a looming, high-stakes COBOL rewrite.</w:t>
      </w:r>
    </w:p>
    <w:p>
      <w:pPr>
        <w:pStyle w:val="ListBullet"/>
      </w:pPr>
      <w:r>
        <w:t>IGYA1MST Chapter 16, "Converting Procedure-Oriented Programs to Object-Oriented" (1998) — guidance for transforming working COBOL into a new paradigm without losing what it does.</w:t>
      </w:r>
    </w:p>
    <w:p>
      <w:pPr>
        <w:pStyle w:val="ListBullet"/>
      </w:pPr>
      <w:r>
        <w:t>AgentModernize (2026) opens with almost the same problem statement in modern dress: "Legacy modernization breaks business logic. Not sometimes — routinely… A line-by-line COBOL-to-Java translation can compile and run yet silently break edge-case handling." Its proposed fix — a four-agent LLM pipeline built around a "Behavioral Specification Graph" that makes business rules explicit before any code is generated — is, in effect, a 2026, AI-driven answer to the exact problem the 1998 manual was helping programmers solve by hand.</w:t>
      </w:r>
    </w:p>
    <w:p>
      <w:pPr>
        <w:pStyle w:val="Heading2"/>
      </w:pPr>
      <w:r>
        <w:t>Pattern 5 — Seven sources teach you to use COBOL; one starts from the premise that you shouldn’t have to</w:t>
      </w:r>
    </w:p>
    <w:p>
      <w:r>
        <w:t>There’s a built-in tension in this folder worth naming directly. Seven of the eight documents assume the goal is COBOL fluency — reading, writing, compiling, and maintaining it. The eighth, AgentModernize, opens from the opposite premise: that the right long-term move is to get business logic out of COBOL and into modern languages, safely, with AI doing much of the translation. Neither position is "wrong," but they point toward different study priorities — which is exactly why Question 1 in Section 5 (which of these is "COBOL_Project" really for?) matters before committing to a reading order.</w:t>
      </w:r>
    </w:p>
    <w:p>
      <w:pPr>
        <w:pStyle w:val="ListBullet"/>
      </w:pPr>
      <w:r>
        <w:t>"COBOL Programming with VSCode" Chapter 1, "Why COBOL?", and its Section 1.2, "How is COBOL being used today?", build the case for continuing to invest in COBOL skills and modern tooling around it.</w:t>
      </w:r>
    </w:p>
    <w:p>
      <w:pPr>
        <w:pStyle w:val="ListBullet"/>
      </w:pPr>
      <w:r>
        <w:t>AgentModernize’s abstract opens by rejecting that premise outright for legacy systems generally: "Most tools and LLM-based approaches treat modernization as syntax translation: convert COBOL to Java, swap PL/SQL for Python, ship it… The implicit rules… that keep production systems running are lost in the process."</w:t>
      </w:r>
    </w:p>
    <w:p>
      <w:pPr>
        <w:pStyle w:val="ListBullet"/>
      </w:pPr>
      <w:r>
        <w:t>Practically: if "COBOL_Project" is about becoming a COBOL maintainer/developer, the seven reference texts dominate your plan. If it’s about building or evaluating modernization tooling, AgentModernize and the Enterprise COBOL 6.5 Guide (as the "ground truth" of current syntax to translate from) become the anchor sources instead.</w:t>
      </w:r>
    </w:p>
    <w:p>
      <w:r>
        <w:br w:type="page"/>
      </w:r>
    </w:p>
    <w:p>
      <w:pPr>
        <w:pStyle w:val="Heading1"/>
      </w:pPr>
      <w:r>
        <w:t>3. Topic Coverage Matrix</w:t>
      </w:r>
    </w:p>
    <w:p>
      <w:r>
        <w:t>Where to find each topic, by source. Cells cite the specific day / hour / chapter / part so you can jump straight to the right pages rather than re-reading whole books. "—" means the topic is absent or only incidentally mentioned.</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3312"/>
            <w:shd w:val="clear" w:color="auto" w:fill="1F3A5F"/>
          </w:tcPr>
          <w:p>
            <w:r/>
            <w:r>
              <w:rPr>
                <w:b/>
                <w:color w:val="FFFFFF"/>
                <w:sz w:val="17"/>
              </w:rPr>
              <w:t>Topic</w:t>
            </w:r>
          </w:p>
        </w:tc>
        <w:tc>
          <w:tcPr>
            <w:tcW w:type="dxa" w:w="1224"/>
            <w:shd w:val="clear" w:color="auto" w:fill="1F3A5F"/>
          </w:tcPr>
          <w:p>
            <w:r/>
            <w:r>
              <w:rPr>
                <w:b/>
                <w:color w:val="FFFFFF"/>
                <w:sz w:val="17"/>
              </w:rPr>
              <w:t>Fundamental</w:t>
              <w:br/>
              <w:t>(2004)</w:t>
            </w:r>
          </w:p>
        </w:tc>
        <w:tc>
          <w:tcPr>
            <w:tcW w:type="dxa" w:w="1152"/>
            <w:shd w:val="clear" w:color="auto" w:fill="1F3A5F"/>
          </w:tcPr>
          <w:p>
            <w:r/>
            <w:r>
              <w:rPr>
                <w:b/>
                <w:color w:val="FFFFFF"/>
                <w:sz w:val="17"/>
              </w:rPr>
              <w:t>21 Days</w:t>
              <w:br/>
              <w:t>(2000)</w:t>
            </w:r>
          </w:p>
        </w:tc>
        <w:tc>
          <w:tcPr>
            <w:tcW w:type="dxa" w:w="1152"/>
            <w:shd w:val="clear" w:color="auto" w:fill="1F3A5F"/>
          </w:tcPr>
          <w:p>
            <w:r/>
            <w:r>
              <w:rPr>
                <w:b/>
                <w:color w:val="FFFFFF"/>
                <w:sz w:val="17"/>
              </w:rPr>
              <w:t>24 Hours</w:t>
              <w:br/>
              <w:t>(2008)</w:t>
            </w:r>
          </w:p>
        </w:tc>
        <w:tc>
          <w:tcPr>
            <w:tcW w:type="dxa" w:w="1080"/>
            <w:shd w:val="clear" w:color="auto" w:fill="1F3A5F"/>
          </w:tcPr>
          <w:p>
            <w:r/>
            <w:r>
              <w:rPr>
                <w:b/>
                <w:color w:val="FFFFFF"/>
                <w:sz w:val="17"/>
              </w:rPr>
              <w:t>VSCode</w:t>
              <w:br/>
              <w:t>(2020)</w:t>
            </w:r>
          </w:p>
        </w:tc>
        <w:tc>
          <w:tcPr>
            <w:tcW w:type="dxa" w:w="1224"/>
            <w:shd w:val="clear" w:color="auto" w:fill="1F3A5F"/>
          </w:tcPr>
          <w:p>
            <w:r/>
            <w:r>
              <w:rPr>
                <w:b/>
                <w:color w:val="FFFFFF"/>
                <w:sz w:val="17"/>
              </w:rPr>
              <w:t>Enterprise</w:t>
              <w:br/>
              <w:t>6.5 (IBM)</w:t>
            </w:r>
          </w:p>
        </w:tc>
        <w:tc>
          <w:tcPr>
            <w:tcW w:type="dxa" w:w="1152"/>
            <w:shd w:val="clear" w:color="auto" w:fill="1F3A5F"/>
          </w:tcPr>
          <w:p>
            <w:r/>
            <w:r>
              <w:rPr>
                <w:b/>
                <w:color w:val="FFFFFF"/>
                <w:sz w:val="17"/>
              </w:rPr>
              <w:t>AIX Guide</w:t>
              <w:br/>
              <w:t>(1998)</w:t>
            </w:r>
          </w:p>
        </w:tc>
        <w:tc>
          <w:tcPr>
            <w:tcW w:type="dxa" w:w="1224"/>
            <w:shd w:val="clear" w:color="auto" w:fill="1F3A5F"/>
          </w:tcPr>
          <w:p>
            <w:r/>
            <w:r>
              <w:rPr>
                <w:b/>
                <w:color w:val="FFFFFF"/>
                <w:sz w:val="17"/>
              </w:rPr>
              <w:t>FIPS</w:t>
              <w:br/>
              <w:t>Standard</w:t>
            </w:r>
          </w:p>
        </w:tc>
      </w:tr>
      <w:tr>
        <w:tc>
          <w:tcPr>
            <w:tcW w:type="dxa" w:w="3312"/>
          </w:tcPr>
          <w:p>
            <w:r/>
            <w:r>
              <w:rPr>
                <w:b w:val="0"/>
                <w:sz w:val="17"/>
              </w:rPr>
              <w:t>Core syntax (4 divisions, basic structure)</w:t>
            </w:r>
          </w:p>
        </w:tc>
        <w:tc>
          <w:tcPr>
            <w:tcW w:type="dxa" w:w="1224"/>
          </w:tcPr>
          <w:p>
            <w:r/>
            <w:r>
              <w:rPr>
                <w:b w:val="0"/>
                <w:sz w:val="17"/>
              </w:rPr>
              <w:t>Days 1–2</w:t>
            </w:r>
          </w:p>
        </w:tc>
        <w:tc>
          <w:tcPr>
            <w:tcW w:type="dxa" w:w="1152"/>
          </w:tcPr>
          <w:p>
            <w:r/>
            <w:r>
              <w:rPr>
                <w:b w:val="0"/>
                <w:sz w:val="17"/>
              </w:rPr>
              <w:t>Days 1–3</w:t>
            </w:r>
          </w:p>
        </w:tc>
        <w:tc>
          <w:tcPr>
            <w:tcW w:type="dxa" w:w="1152"/>
          </w:tcPr>
          <w:p>
            <w:r/>
            <w:r>
              <w:rPr>
                <w:b w:val="0"/>
                <w:sz w:val="17"/>
              </w:rPr>
              <w:t>Hours 1–3</w:t>
            </w:r>
          </w:p>
        </w:tc>
        <w:tc>
          <w:tcPr>
            <w:tcW w:type="dxa" w:w="1080"/>
          </w:tcPr>
          <w:p>
            <w:r/>
            <w:r>
              <w:rPr>
                <w:b w:val="0"/>
                <w:sz w:val="17"/>
              </w:rPr>
              <w:t>Ch. 4, 7</w:t>
            </w:r>
          </w:p>
        </w:tc>
        <w:tc>
          <w:tcPr>
            <w:tcW w:type="dxa" w:w="1224"/>
          </w:tcPr>
          <w:p>
            <w:r/>
            <w:r>
              <w:rPr>
                <w:b w:val="0"/>
                <w:sz w:val="17"/>
              </w:rPr>
              <w:t>Ch. 1–2</w:t>
            </w:r>
          </w:p>
        </w:tc>
        <w:tc>
          <w:tcPr>
            <w:tcW w:type="dxa" w:w="1152"/>
          </w:tcPr>
          <w:p>
            <w:r/>
            <w:r>
              <w:rPr>
                <w:b w:val="0"/>
                <w:sz w:val="17"/>
              </w:rPr>
              <w:t>Ch. 1–2</w:t>
            </w:r>
          </w:p>
        </w:tc>
        <w:tc>
          <w:tcPr>
            <w:tcW w:type="dxa" w:w="1224"/>
          </w:tcPr>
          <w:p>
            <w:r/>
            <w:r>
              <w:rPr>
                <w:b w:val="0"/>
                <w:sz w:val="17"/>
              </w:rPr>
              <w:t>Sec. III–V</w:t>
            </w:r>
          </w:p>
        </w:tc>
      </w:tr>
      <w:tr>
        <w:tc>
          <w:tcPr>
            <w:tcW w:type="dxa" w:w="3312"/>
            <w:shd w:val="clear" w:color="auto" w:fill="F2F5F9"/>
          </w:tcPr>
          <w:p>
            <w:r/>
            <w:r>
              <w:rPr>
                <w:b w:val="0"/>
                <w:sz w:val="17"/>
              </w:rPr>
              <w:t>Conditionals &amp; PERFORM loops</w:t>
            </w:r>
          </w:p>
        </w:tc>
        <w:tc>
          <w:tcPr>
            <w:tcW w:type="dxa" w:w="1224"/>
            <w:shd w:val="clear" w:color="auto" w:fill="F2F5F9"/>
          </w:tcPr>
          <w:p>
            <w:r/>
            <w:r>
              <w:rPr>
                <w:b w:val="0"/>
                <w:sz w:val="17"/>
              </w:rPr>
              <w:t>Day 4 (slides)</w:t>
            </w:r>
          </w:p>
        </w:tc>
        <w:tc>
          <w:tcPr>
            <w:tcW w:type="dxa" w:w="1152"/>
            <w:shd w:val="clear" w:color="auto" w:fill="F2F5F9"/>
          </w:tcPr>
          <w:p>
            <w:r/>
            <w:r>
              <w:rPr>
                <w:b w:val="0"/>
                <w:sz w:val="17"/>
              </w:rPr>
              <w:t>Days 4–6</w:t>
            </w:r>
          </w:p>
        </w:tc>
        <w:tc>
          <w:tcPr>
            <w:tcW w:type="dxa" w:w="1152"/>
            <w:shd w:val="clear" w:color="auto" w:fill="F2F5F9"/>
          </w:tcPr>
          <w:p>
            <w:r/>
            <w:r>
              <w:rPr>
                <w:b w:val="0"/>
                <w:sz w:val="17"/>
              </w:rPr>
              <w:t>Hours 8–11</w:t>
            </w:r>
          </w:p>
        </w:tc>
        <w:tc>
          <w:tcPr>
            <w:tcW w:type="dxa" w:w="1080"/>
            <w:shd w:val="clear" w:color="auto" w:fill="F2F5F9"/>
          </w:tcPr>
          <w:p>
            <w:r/>
            <w:r>
              <w:rPr>
                <w:b w:val="0"/>
                <w:sz w:val="17"/>
              </w:rPr>
              <w:t>Ch. 9–10</w:t>
            </w:r>
          </w:p>
        </w:tc>
        <w:tc>
          <w:tcPr>
            <w:tcW w:type="dxa" w:w="1224"/>
            <w:shd w:val="clear" w:color="auto" w:fill="F2F5F9"/>
          </w:tcPr>
          <w:p>
            <w:r/>
            <w:r>
              <w:rPr>
                <w:b w:val="0"/>
                <w:sz w:val="17"/>
              </w:rPr>
              <w:t>Ch. 5</w:t>
            </w:r>
          </w:p>
        </w:tc>
        <w:tc>
          <w:tcPr>
            <w:tcW w:type="dxa" w:w="1152"/>
            <w:shd w:val="clear" w:color="auto" w:fill="F2F5F9"/>
          </w:tcPr>
          <w:p>
            <w:r/>
            <w:r>
              <w:rPr>
                <w:b w:val="0"/>
                <w:sz w:val="17"/>
              </w:rPr>
              <w:t>Ch. 5</w:t>
            </w:r>
          </w:p>
        </w:tc>
        <w:tc>
          <w:tcPr>
            <w:tcW w:type="dxa" w:w="1224"/>
            <w:shd w:val="clear" w:color="auto" w:fill="F2F5F9"/>
          </w:tcPr>
          <w:p>
            <w:r/>
            <w:r>
              <w:rPr>
                <w:b w:val="0"/>
                <w:sz w:val="17"/>
              </w:rPr>
              <w:t>Procedure Div. secs.</w:t>
            </w:r>
          </w:p>
        </w:tc>
      </w:tr>
      <w:tr>
        <w:tc>
          <w:tcPr>
            <w:tcW w:type="dxa" w:w="3312"/>
          </w:tcPr>
          <w:p>
            <w:r/>
            <w:r>
              <w:rPr>
                <w:b w:val="0"/>
                <w:sz w:val="17"/>
              </w:rPr>
              <w:t>Tables / arrays</w:t>
            </w:r>
          </w:p>
        </w:tc>
        <w:tc>
          <w:tcPr>
            <w:tcW w:type="dxa" w:w="1224"/>
          </w:tcPr>
          <w:p>
            <w:r/>
            <w:r>
              <w:rPr>
                <w:b w:val="0"/>
                <w:sz w:val="17"/>
              </w:rPr>
              <w:t>Slides on tables</w:t>
            </w:r>
          </w:p>
        </w:tc>
        <w:tc>
          <w:tcPr>
            <w:tcW w:type="dxa" w:w="1152"/>
          </w:tcPr>
          <w:p>
            <w:r/>
            <w:r>
              <w:rPr>
                <w:b w:val="0"/>
                <w:sz w:val="17"/>
              </w:rPr>
              <w:t>Day 16</w:t>
            </w:r>
          </w:p>
        </w:tc>
        <w:tc>
          <w:tcPr>
            <w:tcW w:type="dxa" w:w="1152"/>
          </w:tcPr>
          <w:p>
            <w:r/>
            <w:r>
              <w:rPr>
                <w:b w:val="0"/>
                <w:sz w:val="17"/>
              </w:rPr>
              <w:t>Hour 12</w:t>
            </w:r>
          </w:p>
        </w:tc>
        <w:tc>
          <w:tcPr>
            <w:tcW w:type="dxa" w:w="1080"/>
          </w:tcPr>
          <w:p>
            <w:r/>
            <w:r>
              <w:rPr>
                <w:b w:val="0"/>
                <w:sz w:val="17"/>
              </w:rPr>
              <w:t>—</w:t>
            </w:r>
          </w:p>
        </w:tc>
        <w:tc>
          <w:tcPr>
            <w:tcW w:type="dxa" w:w="1224"/>
          </w:tcPr>
          <w:p>
            <w:r/>
            <w:r>
              <w:rPr>
                <w:b w:val="0"/>
                <w:sz w:val="17"/>
              </w:rPr>
              <w:t>Ch. 4</w:t>
            </w:r>
          </w:p>
        </w:tc>
        <w:tc>
          <w:tcPr>
            <w:tcW w:type="dxa" w:w="1152"/>
          </w:tcPr>
          <w:p>
            <w:r/>
            <w:r>
              <w:rPr>
                <w:b w:val="0"/>
                <w:sz w:val="17"/>
              </w:rPr>
              <w:t>Ch. 4</w:t>
            </w:r>
          </w:p>
        </w:tc>
        <w:tc>
          <w:tcPr>
            <w:tcW w:type="dxa" w:w="1224"/>
          </w:tcPr>
          <w:p>
            <w:r/>
            <w:r>
              <w:rPr>
                <w:b w:val="0"/>
                <w:sz w:val="17"/>
              </w:rPr>
              <w:t>Sec. on tables</w:t>
            </w:r>
          </w:p>
        </w:tc>
      </w:tr>
      <w:tr>
        <w:tc>
          <w:tcPr>
            <w:tcW w:type="dxa" w:w="3312"/>
            <w:shd w:val="clear" w:color="auto" w:fill="F2F5F9"/>
          </w:tcPr>
          <w:p>
            <w:r/>
            <w:r>
              <w:rPr>
                <w:b w:val="0"/>
                <w:sz w:val="17"/>
              </w:rPr>
              <w:t>String handling / intrinsic functions</w:t>
            </w:r>
          </w:p>
        </w:tc>
        <w:tc>
          <w:tcPr>
            <w:tcW w:type="dxa" w:w="1224"/>
            <w:shd w:val="clear" w:color="auto" w:fill="F2F5F9"/>
          </w:tcPr>
          <w:p>
            <w:r/>
            <w:r>
              <w:rPr>
                <w:b w:val="0"/>
                <w:sz w:val="17"/>
              </w:rPr>
              <w:t>—</w:t>
            </w:r>
          </w:p>
        </w:tc>
        <w:tc>
          <w:tcPr>
            <w:tcW w:type="dxa" w:w="1152"/>
            <w:shd w:val="clear" w:color="auto" w:fill="F2F5F9"/>
          </w:tcPr>
          <w:p>
            <w:r/>
            <w:r>
              <w:rPr>
                <w:b w:val="0"/>
                <w:sz w:val="17"/>
              </w:rPr>
              <w:t>—</w:t>
            </w:r>
          </w:p>
        </w:tc>
        <w:tc>
          <w:tcPr>
            <w:tcW w:type="dxa" w:w="1152"/>
            <w:shd w:val="clear" w:color="auto" w:fill="F2F5F9"/>
          </w:tcPr>
          <w:p>
            <w:r/>
            <w:r>
              <w:rPr>
                <w:b w:val="0"/>
                <w:sz w:val="17"/>
              </w:rPr>
              <w:t>Hours 7, 22</w:t>
            </w:r>
          </w:p>
        </w:tc>
        <w:tc>
          <w:tcPr>
            <w:tcW w:type="dxa" w:w="1080"/>
            <w:shd w:val="clear" w:color="auto" w:fill="F2F5F9"/>
          </w:tcPr>
          <w:p>
            <w:r/>
            <w:r>
              <w:rPr>
                <w:b w:val="0"/>
                <w:sz w:val="17"/>
              </w:rPr>
              <w:t>Ch. 12</w:t>
            </w:r>
          </w:p>
        </w:tc>
        <w:tc>
          <w:tcPr>
            <w:tcW w:type="dxa" w:w="1224"/>
            <w:shd w:val="clear" w:color="auto" w:fill="F2F5F9"/>
          </w:tcPr>
          <w:p>
            <w:r/>
            <w:r>
              <w:rPr>
                <w:b w:val="0"/>
                <w:sz w:val="17"/>
              </w:rPr>
              <w:t>Ch. 6</w:t>
            </w:r>
          </w:p>
        </w:tc>
        <w:tc>
          <w:tcPr>
            <w:tcW w:type="dxa" w:w="1152"/>
            <w:shd w:val="clear" w:color="auto" w:fill="F2F5F9"/>
          </w:tcPr>
          <w:p>
            <w:r/>
            <w:r>
              <w:rPr>
                <w:b w:val="0"/>
                <w:sz w:val="17"/>
              </w:rPr>
              <w:t>Ch. 6</w:t>
            </w:r>
          </w:p>
        </w:tc>
        <w:tc>
          <w:tcPr>
            <w:tcW w:type="dxa" w:w="1224"/>
            <w:shd w:val="clear" w:color="auto" w:fill="F2F5F9"/>
          </w:tcPr>
          <w:p>
            <w:r/>
            <w:r>
              <w:rPr>
                <w:b w:val="0"/>
                <w:sz w:val="17"/>
              </w:rPr>
              <w:t>—</w:t>
            </w:r>
          </w:p>
        </w:tc>
      </w:tr>
      <w:tr>
        <w:tc>
          <w:tcPr>
            <w:tcW w:type="dxa" w:w="3312"/>
          </w:tcPr>
          <w:p>
            <w:r/>
            <w:r>
              <w:rPr>
                <w:b w:val="0"/>
                <w:sz w:val="17"/>
              </w:rPr>
              <w:t>Sequential file I/O</w:t>
            </w:r>
          </w:p>
        </w:tc>
        <w:tc>
          <w:tcPr>
            <w:tcW w:type="dxa" w:w="1224"/>
          </w:tcPr>
          <w:p>
            <w:r/>
            <w:r>
              <w:rPr>
                <w:b w:val="0"/>
                <w:sz w:val="17"/>
              </w:rPr>
              <w:t>Days 4–5</w:t>
            </w:r>
          </w:p>
        </w:tc>
        <w:tc>
          <w:tcPr>
            <w:tcW w:type="dxa" w:w="1152"/>
          </w:tcPr>
          <w:p>
            <w:r/>
            <w:r>
              <w:rPr>
                <w:b w:val="0"/>
                <w:sz w:val="17"/>
              </w:rPr>
              <w:t>Day 9</w:t>
            </w:r>
          </w:p>
        </w:tc>
        <w:tc>
          <w:tcPr>
            <w:tcW w:type="dxa" w:w="1152"/>
          </w:tcPr>
          <w:p>
            <w:r/>
            <w:r>
              <w:rPr>
                <w:b w:val="0"/>
                <w:sz w:val="17"/>
              </w:rPr>
              <w:t>Hour 13</w:t>
            </w:r>
          </w:p>
        </w:tc>
        <w:tc>
          <w:tcPr>
            <w:tcW w:type="dxa" w:w="1080"/>
          </w:tcPr>
          <w:p>
            <w:r/>
            <w:r>
              <w:rPr>
                <w:b w:val="0"/>
                <w:sz w:val="17"/>
              </w:rPr>
              <w:t>Ch. 6, 8</w:t>
            </w:r>
          </w:p>
        </w:tc>
        <w:tc>
          <w:tcPr>
            <w:tcW w:type="dxa" w:w="1224"/>
          </w:tcPr>
          <w:p>
            <w:r/>
            <w:r>
              <w:rPr>
                <w:b w:val="0"/>
                <w:sz w:val="17"/>
              </w:rPr>
              <w:t>Ch. 8</w:t>
            </w:r>
          </w:p>
        </w:tc>
        <w:tc>
          <w:tcPr>
            <w:tcW w:type="dxa" w:w="1152"/>
          </w:tcPr>
          <w:p>
            <w:r/>
            <w:r>
              <w:rPr>
                <w:b w:val="0"/>
                <w:sz w:val="17"/>
              </w:rPr>
              <w:t>Ch. 7</w:t>
            </w:r>
          </w:p>
        </w:tc>
        <w:tc>
          <w:tcPr>
            <w:tcW w:type="dxa" w:w="1224"/>
          </w:tcPr>
          <w:p>
            <w:r/>
            <w:r>
              <w:rPr>
                <w:b w:val="0"/>
                <w:sz w:val="17"/>
              </w:rPr>
              <w:t>File section secs.</w:t>
            </w:r>
          </w:p>
        </w:tc>
      </w:tr>
      <w:tr>
        <w:tc>
          <w:tcPr>
            <w:tcW w:type="dxa" w:w="3312"/>
            <w:shd w:val="clear" w:color="auto" w:fill="F2F5F9"/>
          </w:tcPr>
          <w:p>
            <w:r/>
            <w:r>
              <w:rPr>
                <w:b w:val="0"/>
                <w:sz w:val="17"/>
              </w:rPr>
              <w:t>Indexed / VSAM file I/O</w:t>
            </w:r>
          </w:p>
        </w:tc>
        <w:tc>
          <w:tcPr>
            <w:tcW w:type="dxa" w:w="1224"/>
            <w:shd w:val="clear" w:color="auto" w:fill="F2F5F9"/>
          </w:tcPr>
          <w:p>
            <w:r/>
            <w:r>
              <w:rPr>
                <w:b w:val="0"/>
                <w:sz w:val="17"/>
              </w:rPr>
              <w:t>— (gap)</w:t>
            </w:r>
          </w:p>
        </w:tc>
        <w:tc>
          <w:tcPr>
            <w:tcW w:type="dxa" w:w="1152"/>
            <w:shd w:val="clear" w:color="auto" w:fill="F2F5F9"/>
          </w:tcPr>
          <w:p>
            <w:r/>
            <w:r>
              <w:rPr>
                <w:b w:val="0"/>
                <w:sz w:val="17"/>
              </w:rPr>
              <w:t>Days 11–14</w:t>
            </w:r>
          </w:p>
        </w:tc>
        <w:tc>
          <w:tcPr>
            <w:tcW w:type="dxa" w:w="1152"/>
            <w:shd w:val="clear" w:color="auto" w:fill="F2F5F9"/>
          </w:tcPr>
          <w:p>
            <w:r/>
            <w:r>
              <w:rPr>
                <w:b w:val="0"/>
                <w:sz w:val="17"/>
              </w:rPr>
              <w:t>Hours 14–17</w:t>
            </w:r>
          </w:p>
        </w:tc>
        <w:tc>
          <w:tcPr>
            <w:tcW w:type="dxa" w:w="1080"/>
            <w:shd w:val="clear" w:color="auto" w:fill="F2F5F9"/>
          </w:tcPr>
          <w:p>
            <w:r/>
            <w:r>
              <w:rPr>
                <w:b w:val="0"/>
                <w:sz w:val="17"/>
              </w:rPr>
              <w:t>—</w:t>
            </w:r>
          </w:p>
        </w:tc>
        <w:tc>
          <w:tcPr>
            <w:tcW w:type="dxa" w:w="1224"/>
            <w:shd w:val="clear" w:color="auto" w:fill="F2F5F9"/>
          </w:tcPr>
          <w:p>
            <w:r/>
            <w:r>
              <w:rPr>
                <w:b w:val="0"/>
                <w:sz w:val="17"/>
              </w:rPr>
              <w:t>Ch. 9–11</w:t>
            </w:r>
          </w:p>
        </w:tc>
        <w:tc>
          <w:tcPr>
            <w:tcW w:type="dxa" w:w="1152"/>
            <w:shd w:val="clear" w:color="auto" w:fill="F2F5F9"/>
          </w:tcPr>
          <w:p>
            <w:r/>
            <w:r>
              <w:rPr>
                <w:b w:val="0"/>
                <w:sz w:val="17"/>
              </w:rPr>
              <w:t>Ch. 7</w:t>
            </w:r>
          </w:p>
        </w:tc>
        <w:tc>
          <w:tcPr>
            <w:tcW w:type="dxa" w:w="1224"/>
            <w:shd w:val="clear" w:color="auto" w:fill="F2F5F9"/>
          </w:tcPr>
          <w:p>
            <w:r/>
            <w:r>
              <w:rPr>
                <w:b w:val="0"/>
                <w:sz w:val="17"/>
              </w:rPr>
              <w:t>—</w:t>
            </w:r>
          </w:p>
        </w:tc>
      </w:tr>
      <w:tr>
        <w:tc>
          <w:tcPr>
            <w:tcW w:type="dxa" w:w="3312"/>
          </w:tcPr>
          <w:p>
            <w:r/>
            <w:r>
              <w:rPr>
                <w:b w:val="0"/>
                <w:sz w:val="17"/>
              </w:rPr>
              <w:t>Sorting &amp; reporting</w:t>
            </w:r>
          </w:p>
        </w:tc>
        <w:tc>
          <w:tcPr>
            <w:tcW w:type="dxa" w:w="1224"/>
          </w:tcPr>
          <w:p>
            <w:r/>
            <w:r>
              <w:rPr>
                <w:b w:val="0"/>
                <w:sz w:val="17"/>
              </w:rPr>
              <w:t>—</w:t>
            </w:r>
          </w:p>
        </w:tc>
        <w:tc>
          <w:tcPr>
            <w:tcW w:type="dxa" w:w="1152"/>
          </w:tcPr>
          <w:p>
            <w:r/>
            <w:r>
              <w:rPr>
                <w:b w:val="0"/>
                <w:sz w:val="17"/>
              </w:rPr>
              <w:t>Day 21</w:t>
            </w:r>
          </w:p>
        </w:tc>
        <w:tc>
          <w:tcPr>
            <w:tcW w:type="dxa" w:w="1152"/>
          </w:tcPr>
          <w:p>
            <w:r/>
            <w:r>
              <w:rPr>
                <w:b w:val="0"/>
                <w:sz w:val="17"/>
              </w:rPr>
              <w:t>Hours 17, 19</w:t>
            </w:r>
          </w:p>
        </w:tc>
        <w:tc>
          <w:tcPr>
            <w:tcW w:type="dxa" w:w="1080"/>
          </w:tcPr>
          <w:p>
            <w:r/>
            <w:r>
              <w:rPr>
                <w:b w:val="0"/>
                <w:sz w:val="17"/>
              </w:rPr>
              <w:t>—</w:t>
            </w:r>
          </w:p>
        </w:tc>
        <w:tc>
          <w:tcPr>
            <w:tcW w:type="dxa" w:w="1224"/>
          </w:tcPr>
          <w:p>
            <w:r/>
            <w:r>
              <w:rPr>
                <w:b w:val="0"/>
                <w:sz w:val="17"/>
              </w:rPr>
              <w:t>Ch. 13</w:t>
            </w:r>
          </w:p>
        </w:tc>
        <w:tc>
          <w:tcPr>
            <w:tcW w:type="dxa" w:w="1152"/>
          </w:tcPr>
          <w:p>
            <w:r/>
            <w:r>
              <w:rPr>
                <w:b w:val="0"/>
                <w:sz w:val="17"/>
              </w:rPr>
              <w:t>—</w:t>
            </w:r>
          </w:p>
        </w:tc>
        <w:tc>
          <w:tcPr>
            <w:tcW w:type="dxa" w:w="1224"/>
          </w:tcPr>
          <w:p>
            <w:r/>
            <w:r>
              <w:rPr>
                <w:b w:val="0"/>
                <w:sz w:val="17"/>
              </w:rPr>
              <w:t>—</w:t>
            </w:r>
          </w:p>
        </w:tc>
      </w:tr>
      <w:tr>
        <w:tc>
          <w:tcPr>
            <w:tcW w:type="dxa" w:w="3312"/>
            <w:shd w:val="clear" w:color="auto" w:fill="F2F5F9"/>
          </w:tcPr>
          <w:p>
            <w:r/>
            <w:r>
              <w:rPr>
                <w:b w:val="0"/>
                <w:sz w:val="17"/>
              </w:rPr>
              <w:t>Subprograms / CALL interface</w:t>
            </w:r>
          </w:p>
        </w:tc>
        <w:tc>
          <w:tcPr>
            <w:tcW w:type="dxa" w:w="1224"/>
            <w:shd w:val="clear" w:color="auto" w:fill="F2F5F9"/>
          </w:tcPr>
          <w:p>
            <w:r/>
            <w:r>
              <w:rPr>
                <w:b w:val="0"/>
                <w:sz w:val="17"/>
              </w:rPr>
              <w:t>—</w:t>
            </w:r>
          </w:p>
        </w:tc>
        <w:tc>
          <w:tcPr>
            <w:tcW w:type="dxa" w:w="1152"/>
            <w:shd w:val="clear" w:color="auto" w:fill="F2F5F9"/>
          </w:tcPr>
          <w:p>
            <w:r/>
            <w:r>
              <w:rPr>
                <w:b w:val="0"/>
                <w:sz w:val="17"/>
              </w:rPr>
              <w:t>Day 18</w:t>
            </w:r>
          </w:p>
        </w:tc>
        <w:tc>
          <w:tcPr>
            <w:tcW w:type="dxa" w:w="1152"/>
            <w:shd w:val="clear" w:color="auto" w:fill="F2F5F9"/>
          </w:tcPr>
          <w:p>
            <w:r/>
            <w:r>
              <w:rPr>
                <w:b w:val="0"/>
                <w:sz w:val="17"/>
              </w:rPr>
              <w:t>Hour 23</w:t>
            </w:r>
          </w:p>
        </w:tc>
        <w:tc>
          <w:tcPr>
            <w:tcW w:type="dxa" w:w="1080"/>
            <w:shd w:val="clear" w:color="auto" w:fill="F2F5F9"/>
          </w:tcPr>
          <w:p>
            <w:r/>
            <w:r>
              <w:rPr>
                <w:b w:val="0"/>
                <w:sz w:val="17"/>
              </w:rPr>
              <w:t>—</w:t>
            </w:r>
          </w:p>
        </w:tc>
        <w:tc>
          <w:tcPr>
            <w:tcW w:type="dxa" w:w="1224"/>
            <w:shd w:val="clear" w:color="auto" w:fill="F2F5F9"/>
          </w:tcPr>
          <w:p>
            <w:r/>
            <w:r>
              <w:rPr>
                <w:b w:val="0"/>
                <w:sz w:val="17"/>
              </w:rPr>
              <w:t>Ch. 29</w:t>
            </w:r>
          </w:p>
        </w:tc>
        <w:tc>
          <w:tcPr>
            <w:tcW w:type="dxa" w:w="1152"/>
            <w:shd w:val="clear" w:color="auto" w:fill="F2F5F9"/>
          </w:tcPr>
          <w:p>
            <w:r/>
            <w:r>
              <w:rPr>
                <w:b w:val="0"/>
                <w:sz w:val="17"/>
              </w:rPr>
              <w:t>Ch. 18</w:t>
            </w:r>
          </w:p>
        </w:tc>
        <w:tc>
          <w:tcPr>
            <w:tcW w:type="dxa" w:w="1224"/>
            <w:shd w:val="clear" w:color="auto" w:fill="F2F5F9"/>
          </w:tcPr>
          <w:p>
            <w:r/>
            <w:r>
              <w:rPr>
                <w:b w:val="0"/>
                <w:sz w:val="17"/>
              </w:rPr>
              <w:t>—</w:t>
            </w:r>
          </w:p>
        </w:tc>
      </w:tr>
      <w:tr>
        <w:tc>
          <w:tcPr>
            <w:tcW w:type="dxa" w:w="3312"/>
          </w:tcPr>
          <w:p>
            <w:r/>
            <w:r>
              <w:rPr>
                <w:b w:val="0"/>
                <w:sz w:val="17"/>
              </w:rPr>
              <w:t>Screen Section / UI / GUI</w:t>
            </w:r>
          </w:p>
        </w:tc>
        <w:tc>
          <w:tcPr>
            <w:tcW w:type="dxa" w:w="1224"/>
          </w:tcPr>
          <w:p>
            <w:r/>
            <w:r>
              <w:rPr>
                <w:b w:val="0"/>
                <w:sz w:val="17"/>
              </w:rPr>
              <w:t>—</w:t>
            </w:r>
          </w:p>
        </w:tc>
        <w:tc>
          <w:tcPr>
            <w:tcW w:type="dxa" w:w="1152"/>
          </w:tcPr>
          <w:p>
            <w:r/>
            <w:r>
              <w:rPr>
                <w:b w:val="0"/>
                <w:sz w:val="17"/>
              </w:rPr>
              <w:t>— (gap)</w:t>
            </w:r>
          </w:p>
        </w:tc>
        <w:tc>
          <w:tcPr>
            <w:tcW w:type="dxa" w:w="1152"/>
          </w:tcPr>
          <w:p>
            <w:r/>
            <w:r>
              <w:rPr>
                <w:b w:val="0"/>
                <w:sz w:val="17"/>
              </w:rPr>
              <w:t>Hours 4, 24</w:t>
            </w:r>
          </w:p>
        </w:tc>
        <w:tc>
          <w:tcPr>
            <w:tcW w:type="dxa" w:w="1080"/>
          </w:tcPr>
          <w:p>
            <w:r/>
            <w:r>
              <w:rPr>
                <w:b w:val="0"/>
                <w:sz w:val="17"/>
              </w:rPr>
              <w:t>—</w:t>
            </w:r>
          </w:p>
        </w:tc>
        <w:tc>
          <w:tcPr>
            <w:tcW w:type="dxa" w:w="1224"/>
          </w:tcPr>
          <w:p>
            <w:r/>
            <w:r>
              <w:rPr>
                <w:b w:val="0"/>
                <w:sz w:val="17"/>
              </w:rPr>
              <w:t>—</w:t>
            </w:r>
          </w:p>
        </w:tc>
        <w:tc>
          <w:tcPr>
            <w:tcW w:type="dxa" w:w="1152"/>
          </w:tcPr>
          <w:p>
            <w:r/>
            <w:r>
              <w:rPr>
                <w:b w:val="0"/>
                <w:sz w:val="17"/>
              </w:rPr>
              <w:t>—</w:t>
            </w:r>
          </w:p>
        </w:tc>
        <w:tc>
          <w:tcPr>
            <w:tcW w:type="dxa" w:w="1224"/>
          </w:tcPr>
          <w:p>
            <w:r/>
            <w:r>
              <w:rPr>
                <w:b w:val="0"/>
                <w:sz w:val="17"/>
              </w:rPr>
              <w:t>—</w:t>
            </w:r>
          </w:p>
        </w:tc>
      </w:tr>
      <w:tr>
        <w:tc>
          <w:tcPr>
            <w:tcW w:type="dxa" w:w="3312"/>
            <w:shd w:val="clear" w:color="auto" w:fill="F2F5F9"/>
          </w:tcPr>
          <w:p>
            <w:r/>
            <w:r>
              <w:rPr>
                <w:b w:val="0"/>
                <w:sz w:val="17"/>
              </w:rPr>
              <w:t>Compiling, linking &amp; debugging</w:t>
            </w:r>
          </w:p>
        </w:tc>
        <w:tc>
          <w:tcPr>
            <w:tcW w:type="dxa" w:w="1224"/>
            <w:shd w:val="clear" w:color="auto" w:fill="F2F5F9"/>
          </w:tcPr>
          <w:p>
            <w:r/>
            <w:r>
              <w:rPr>
                <w:b w:val="0"/>
                <w:sz w:val="17"/>
              </w:rPr>
              <w:t>—</w:t>
            </w:r>
          </w:p>
        </w:tc>
        <w:tc>
          <w:tcPr>
            <w:tcW w:type="dxa" w:w="1152"/>
            <w:shd w:val="clear" w:color="auto" w:fill="F2F5F9"/>
          </w:tcPr>
          <w:p>
            <w:r/>
            <w:r>
              <w:rPr>
                <w:b w:val="0"/>
                <w:sz w:val="17"/>
              </w:rPr>
              <w:t>—</w:t>
            </w:r>
          </w:p>
        </w:tc>
        <w:tc>
          <w:tcPr>
            <w:tcW w:type="dxa" w:w="1152"/>
            <w:shd w:val="clear" w:color="auto" w:fill="F2F5F9"/>
          </w:tcPr>
          <w:p>
            <w:r/>
            <w:r>
              <w:rPr>
                <w:b w:val="0"/>
                <w:sz w:val="17"/>
              </w:rPr>
              <w:t>—</w:t>
            </w:r>
          </w:p>
        </w:tc>
        <w:tc>
          <w:tcPr>
            <w:tcW w:type="dxa" w:w="1080"/>
            <w:shd w:val="clear" w:color="auto" w:fill="F2F5F9"/>
          </w:tcPr>
          <w:p>
            <w:r/>
            <w:r>
              <w:rPr>
                <w:b w:val="0"/>
                <w:sz w:val="17"/>
              </w:rPr>
              <w:t>Ch. 16 (testing)</w:t>
            </w:r>
          </w:p>
        </w:tc>
        <w:tc>
          <w:tcPr>
            <w:tcW w:type="dxa" w:w="1224"/>
            <w:shd w:val="clear" w:color="auto" w:fill="F2F5F9"/>
          </w:tcPr>
          <w:p>
            <w:r/>
            <w:r>
              <w:rPr>
                <w:b w:val="0"/>
                <w:sz w:val="17"/>
              </w:rPr>
              <w:t>Ch. 15–22 (Part 2)</w:t>
            </w:r>
          </w:p>
        </w:tc>
        <w:tc>
          <w:tcPr>
            <w:tcW w:type="dxa" w:w="1152"/>
            <w:shd w:val="clear" w:color="auto" w:fill="F2F5F9"/>
          </w:tcPr>
          <w:p>
            <w:r/>
            <w:r>
              <w:rPr>
                <w:b w:val="0"/>
                <w:sz w:val="17"/>
              </w:rPr>
              <w:t>Ch. 9–12</w:t>
            </w:r>
          </w:p>
        </w:tc>
        <w:tc>
          <w:tcPr>
            <w:tcW w:type="dxa" w:w="1224"/>
            <w:shd w:val="clear" w:color="auto" w:fill="F2F5F9"/>
          </w:tcPr>
          <w:p>
            <w:r/>
            <w:r>
              <w:rPr>
                <w:b w:val="0"/>
                <w:sz w:val="17"/>
              </w:rPr>
              <w:t>—</w:t>
            </w:r>
          </w:p>
        </w:tc>
      </w:tr>
      <w:tr>
        <w:tc>
          <w:tcPr>
            <w:tcW w:type="dxa" w:w="3312"/>
          </w:tcPr>
          <w:p>
            <w:r/>
            <w:r>
              <w:rPr>
                <w:b w:val="0"/>
                <w:sz w:val="17"/>
              </w:rPr>
              <w:t>Object-oriented COBOL</w:t>
            </w:r>
          </w:p>
        </w:tc>
        <w:tc>
          <w:tcPr>
            <w:tcW w:type="dxa" w:w="1224"/>
          </w:tcPr>
          <w:p>
            <w:r/>
            <w:r>
              <w:rPr>
                <w:b w:val="0"/>
                <w:sz w:val="17"/>
              </w:rPr>
              <w:t>—</w:t>
            </w:r>
          </w:p>
        </w:tc>
        <w:tc>
          <w:tcPr>
            <w:tcW w:type="dxa" w:w="1152"/>
          </w:tcPr>
          <w:p>
            <w:r/>
            <w:r>
              <w:rPr>
                <w:b w:val="0"/>
                <w:sz w:val="17"/>
              </w:rPr>
              <w:t>—</w:t>
            </w:r>
          </w:p>
        </w:tc>
        <w:tc>
          <w:tcPr>
            <w:tcW w:type="dxa" w:w="1152"/>
          </w:tcPr>
          <w:p>
            <w:r/>
            <w:r>
              <w:rPr>
                <w:b w:val="0"/>
                <w:sz w:val="17"/>
              </w:rPr>
              <w:t>—</w:t>
            </w:r>
          </w:p>
        </w:tc>
        <w:tc>
          <w:tcPr>
            <w:tcW w:type="dxa" w:w="1080"/>
          </w:tcPr>
          <w:p>
            <w:r/>
            <w:r>
              <w:rPr>
                <w:b w:val="0"/>
                <w:sz w:val="17"/>
              </w:rPr>
              <w:t>—</w:t>
            </w:r>
          </w:p>
        </w:tc>
        <w:tc>
          <w:tcPr>
            <w:tcW w:type="dxa" w:w="1224"/>
          </w:tcPr>
          <w:p>
            <w:r/>
            <w:r>
              <w:rPr>
                <w:b w:val="0"/>
                <w:sz w:val="17"/>
              </w:rPr>
              <w:t>Ch. 17</w:t>
            </w:r>
          </w:p>
        </w:tc>
        <w:tc>
          <w:tcPr>
            <w:tcW w:type="dxa" w:w="1152"/>
          </w:tcPr>
          <w:p>
            <w:r/>
            <w:r>
              <w:rPr>
                <w:b w:val="0"/>
                <w:sz w:val="17"/>
              </w:rPr>
              <w:t>Ch. 13–16</w:t>
            </w:r>
          </w:p>
        </w:tc>
        <w:tc>
          <w:tcPr>
            <w:tcW w:type="dxa" w:w="1224"/>
          </w:tcPr>
          <w:p>
            <w:r/>
            <w:r>
              <w:rPr>
                <w:b w:val="0"/>
                <w:sz w:val="17"/>
              </w:rPr>
              <w:t>—</w:t>
            </w:r>
          </w:p>
        </w:tc>
      </w:tr>
      <w:tr>
        <w:tc>
          <w:tcPr>
            <w:tcW w:type="dxa" w:w="3312"/>
            <w:shd w:val="clear" w:color="auto" w:fill="F2F5F9"/>
          </w:tcPr>
          <w:p>
            <w:r/>
            <w:r>
              <w:rPr>
                <w:b w:val="0"/>
                <w:sz w:val="17"/>
              </w:rPr>
              <w:t>CICS / Db2 / IMS integration</w:t>
            </w:r>
          </w:p>
        </w:tc>
        <w:tc>
          <w:tcPr>
            <w:tcW w:type="dxa" w:w="1224"/>
            <w:shd w:val="clear" w:color="auto" w:fill="F2F5F9"/>
          </w:tcPr>
          <w:p>
            <w:r/>
            <w:r>
              <w:rPr>
                <w:b w:val="0"/>
                <w:sz w:val="17"/>
              </w:rPr>
              <w:t>—</w:t>
            </w:r>
          </w:p>
        </w:tc>
        <w:tc>
          <w:tcPr>
            <w:tcW w:type="dxa" w:w="1152"/>
            <w:shd w:val="clear" w:color="auto" w:fill="F2F5F9"/>
          </w:tcPr>
          <w:p>
            <w:r/>
            <w:r>
              <w:rPr>
                <w:b w:val="0"/>
                <w:sz w:val="17"/>
              </w:rPr>
              <w:t>—</w:t>
            </w:r>
          </w:p>
        </w:tc>
        <w:tc>
          <w:tcPr>
            <w:tcW w:type="dxa" w:w="1152"/>
            <w:shd w:val="clear" w:color="auto" w:fill="F2F5F9"/>
          </w:tcPr>
          <w:p>
            <w:r/>
            <w:r>
              <w:rPr>
                <w:b w:val="0"/>
                <w:sz w:val="17"/>
              </w:rPr>
              <w:t>—</w:t>
            </w:r>
          </w:p>
        </w:tc>
        <w:tc>
          <w:tcPr>
            <w:tcW w:type="dxa" w:w="1080"/>
            <w:shd w:val="clear" w:color="auto" w:fill="F2F5F9"/>
          </w:tcPr>
          <w:p>
            <w:r/>
            <w:r>
              <w:rPr>
                <w:b w:val="0"/>
                <w:sz w:val="17"/>
              </w:rPr>
              <w:t>—</w:t>
            </w:r>
          </w:p>
        </w:tc>
        <w:tc>
          <w:tcPr>
            <w:tcW w:type="dxa" w:w="1224"/>
            <w:shd w:val="clear" w:color="auto" w:fill="F2F5F9"/>
          </w:tcPr>
          <w:p>
            <w:r/>
            <w:r>
              <w:rPr>
                <w:b w:val="0"/>
                <w:sz w:val="17"/>
              </w:rPr>
              <w:t>Ch. 23–25</w:t>
            </w:r>
          </w:p>
        </w:tc>
        <w:tc>
          <w:tcPr>
            <w:tcW w:type="dxa" w:w="1152"/>
            <w:shd w:val="clear" w:color="auto" w:fill="F2F5F9"/>
          </w:tcPr>
          <w:p>
            <w:r/>
            <w:r>
              <w:rPr>
                <w:b w:val="0"/>
                <w:sz w:val="17"/>
              </w:rPr>
              <w:t>Ch. 20–21</w:t>
            </w:r>
          </w:p>
        </w:tc>
        <w:tc>
          <w:tcPr>
            <w:tcW w:type="dxa" w:w="1224"/>
            <w:shd w:val="clear" w:color="auto" w:fill="F2F5F9"/>
          </w:tcPr>
          <w:p>
            <w:r/>
            <w:r>
              <w:rPr>
                <w:b w:val="0"/>
                <w:sz w:val="17"/>
              </w:rPr>
              <w:t>—</w:t>
            </w:r>
          </w:p>
        </w:tc>
      </w:tr>
      <w:tr>
        <w:tc>
          <w:tcPr>
            <w:tcW w:type="dxa" w:w="3312"/>
          </w:tcPr>
          <w:p>
            <w:r/>
            <w:r>
              <w:rPr>
                <w:b w:val="0"/>
                <w:sz w:val="17"/>
              </w:rPr>
              <w:t>Web Services &amp; JSON</w:t>
            </w:r>
          </w:p>
        </w:tc>
        <w:tc>
          <w:tcPr>
            <w:tcW w:type="dxa" w:w="1224"/>
          </w:tcPr>
          <w:p>
            <w:r/>
            <w:r>
              <w:rPr>
                <w:b w:val="0"/>
                <w:sz w:val="17"/>
              </w:rPr>
              <w:t>—</w:t>
            </w:r>
          </w:p>
        </w:tc>
        <w:tc>
          <w:tcPr>
            <w:tcW w:type="dxa" w:w="1152"/>
          </w:tcPr>
          <w:p>
            <w:r/>
            <w:r>
              <w:rPr>
                <w:b w:val="0"/>
                <w:sz w:val="17"/>
              </w:rPr>
              <w:t>—</w:t>
            </w:r>
          </w:p>
        </w:tc>
        <w:tc>
          <w:tcPr>
            <w:tcW w:type="dxa" w:w="1152"/>
          </w:tcPr>
          <w:p>
            <w:r/>
            <w:r>
              <w:rPr>
                <w:b w:val="0"/>
                <w:sz w:val="17"/>
              </w:rPr>
              <w:t>—</w:t>
            </w:r>
          </w:p>
        </w:tc>
        <w:tc>
          <w:tcPr>
            <w:tcW w:type="dxa" w:w="1080"/>
          </w:tcPr>
          <w:p>
            <w:r/>
            <w:r>
              <w:rPr>
                <w:b w:val="0"/>
                <w:sz w:val="17"/>
              </w:rPr>
              <w:t>—</w:t>
            </w:r>
          </w:p>
        </w:tc>
        <w:tc>
          <w:tcPr>
            <w:tcW w:type="dxa" w:w="1224"/>
          </w:tcPr>
          <w:p>
            <w:r/>
            <w:r>
              <w:rPr>
                <w:b w:val="0"/>
                <w:sz w:val="17"/>
              </w:rPr>
              <w:t>Ch. 35–37</w:t>
            </w:r>
          </w:p>
        </w:tc>
        <w:tc>
          <w:tcPr>
            <w:tcW w:type="dxa" w:w="1152"/>
          </w:tcPr>
          <w:p>
            <w:r/>
            <w:r>
              <w:rPr>
                <w:b w:val="0"/>
                <w:sz w:val="17"/>
              </w:rPr>
              <w:t>—</w:t>
            </w:r>
          </w:p>
        </w:tc>
        <w:tc>
          <w:tcPr>
            <w:tcW w:type="dxa" w:w="1224"/>
          </w:tcPr>
          <w:p>
            <w:r/>
            <w:r>
              <w:rPr>
                <w:b w:val="0"/>
                <w:sz w:val="17"/>
              </w:rPr>
              <w:t>—</w:t>
            </w:r>
          </w:p>
        </w:tc>
      </w:tr>
      <w:tr>
        <w:tc>
          <w:tcPr>
            <w:tcW w:type="dxa" w:w="3312"/>
            <w:shd w:val="clear" w:color="auto" w:fill="F2F5F9"/>
          </w:tcPr>
          <w:p>
            <w:r/>
            <w:r>
              <w:rPr>
                <w:b w:val="0"/>
                <w:sz w:val="17"/>
              </w:rPr>
              <w:t>Modern IDE / dev tooling (VSCode, ZOWE, ISPF)</w:t>
            </w:r>
          </w:p>
        </w:tc>
        <w:tc>
          <w:tcPr>
            <w:tcW w:type="dxa" w:w="1224"/>
            <w:shd w:val="clear" w:color="auto" w:fill="F2F5F9"/>
          </w:tcPr>
          <w:p>
            <w:r/>
            <w:r>
              <w:rPr>
                <w:b w:val="0"/>
                <w:sz w:val="17"/>
              </w:rPr>
              <w:t>—</w:t>
            </w:r>
          </w:p>
        </w:tc>
        <w:tc>
          <w:tcPr>
            <w:tcW w:type="dxa" w:w="1152"/>
            <w:shd w:val="clear" w:color="auto" w:fill="F2F5F9"/>
          </w:tcPr>
          <w:p>
            <w:r/>
            <w:r>
              <w:rPr>
                <w:b w:val="0"/>
                <w:sz w:val="17"/>
              </w:rPr>
              <w:t>—</w:t>
            </w:r>
          </w:p>
        </w:tc>
        <w:tc>
          <w:tcPr>
            <w:tcW w:type="dxa" w:w="1152"/>
            <w:shd w:val="clear" w:color="auto" w:fill="F2F5F9"/>
          </w:tcPr>
          <w:p>
            <w:r/>
            <w:r>
              <w:rPr>
                <w:b w:val="0"/>
                <w:sz w:val="17"/>
              </w:rPr>
              <w:t>—</w:t>
            </w:r>
          </w:p>
        </w:tc>
        <w:tc>
          <w:tcPr>
            <w:tcW w:type="dxa" w:w="1080"/>
            <w:shd w:val="clear" w:color="auto" w:fill="F2F5F9"/>
          </w:tcPr>
          <w:p>
            <w:r/>
            <w:r>
              <w:rPr>
                <w:b w:val="0"/>
                <w:sz w:val="17"/>
              </w:rPr>
              <w:t>Ch. 1–3, 13–15</w:t>
            </w:r>
          </w:p>
        </w:tc>
        <w:tc>
          <w:tcPr>
            <w:tcW w:type="dxa" w:w="1224"/>
            <w:shd w:val="clear" w:color="auto" w:fill="F2F5F9"/>
          </w:tcPr>
          <w:p>
            <w:r/>
            <w:r>
              <w:rPr>
                <w:b w:val="0"/>
                <w:sz w:val="17"/>
              </w:rPr>
              <w:t>—</w:t>
            </w:r>
          </w:p>
        </w:tc>
        <w:tc>
          <w:tcPr>
            <w:tcW w:type="dxa" w:w="1152"/>
            <w:shd w:val="clear" w:color="auto" w:fill="F2F5F9"/>
          </w:tcPr>
          <w:p>
            <w:r/>
            <w:r>
              <w:rPr>
                <w:b w:val="0"/>
                <w:sz w:val="17"/>
              </w:rPr>
              <w:t>—</w:t>
            </w:r>
          </w:p>
        </w:tc>
        <w:tc>
          <w:tcPr>
            <w:tcW w:type="dxa" w:w="1224"/>
            <w:shd w:val="clear" w:color="auto" w:fill="F2F5F9"/>
          </w:tcPr>
          <w:p>
            <w:r/>
            <w:r>
              <w:rPr>
                <w:b w:val="0"/>
                <w:sz w:val="17"/>
              </w:rPr>
              <w:t>—</w:t>
            </w:r>
          </w:p>
        </w:tc>
      </w:tr>
      <w:tr>
        <w:tc>
          <w:tcPr>
            <w:tcW w:type="dxa" w:w="3312"/>
          </w:tcPr>
          <w:p>
            <w:r/>
            <w:r>
              <w:rPr>
                <w:b w:val="0"/>
                <w:sz w:val="17"/>
              </w:rPr>
              <w:t>Legacy modernization / AI-assisted transformation</w:t>
            </w:r>
          </w:p>
        </w:tc>
        <w:tc>
          <w:tcPr>
            <w:tcW w:type="dxa" w:w="1224"/>
          </w:tcPr>
          <w:p>
            <w:r/>
            <w:r>
              <w:rPr>
                <w:b w:val="0"/>
                <w:sz w:val="17"/>
              </w:rPr>
              <w:t>—</w:t>
            </w:r>
          </w:p>
        </w:tc>
        <w:tc>
          <w:tcPr>
            <w:tcW w:type="dxa" w:w="1152"/>
          </w:tcPr>
          <w:p>
            <w:r/>
            <w:r>
              <w:rPr>
                <w:b w:val="0"/>
                <w:sz w:val="17"/>
              </w:rPr>
              <w:t>—</w:t>
            </w:r>
          </w:p>
        </w:tc>
        <w:tc>
          <w:tcPr>
            <w:tcW w:type="dxa" w:w="1152"/>
          </w:tcPr>
          <w:p>
            <w:r/>
            <w:r>
              <w:rPr>
                <w:b w:val="0"/>
                <w:sz w:val="17"/>
              </w:rPr>
              <w:t>—</w:t>
            </w:r>
          </w:p>
        </w:tc>
        <w:tc>
          <w:tcPr>
            <w:tcW w:type="dxa" w:w="1080"/>
          </w:tcPr>
          <w:p>
            <w:r/>
            <w:r>
              <w:rPr>
                <w:b w:val="0"/>
                <w:sz w:val="17"/>
              </w:rPr>
              <w:t>—</w:t>
            </w:r>
          </w:p>
        </w:tc>
        <w:tc>
          <w:tcPr>
            <w:tcW w:type="dxa" w:w="1224"/>
          </w:tcPr>
          <w:p>
            <w:r/>
            <w:r>
              <w:rPr>
                <w:b w:val="0"/>
                <w:sz w:val="17"/>
              </w:rPr>
              <w:t>—</w:t>
            </w:r>
          </w:p>
        </w:tc>
        <w:tc>
          <w:tcPr>
            <w:tcW w:type="dxa" w:w="1152"/>
          </w:tcPr>
          <w:p>
            <w:r/>
            <w:r>
              <w:rPr>
                <w:b w:val="0"/>
                <w:sz w:val="17"/>
              </w:rPr>
              <w:t>Ch. 16, 28–29</w:t>
            </w:r>
          </w:p>
        </w:tc>
        <w:tc>
          <w:tcPr>
            <w:tcW w:type="dxa" w:w="1224"/>
          </w:tcPr>
          <w:p>
            <w:r/>
            <w:r>
              <w:rPr>
                <w:b w:val="0"/>
                <w:sz w:val="17"/>
              </w:rPr>
              <w:t>—</w:t>
            </w:r>
          </w:p>
        </w:tc>
      </w:tr>
    </w:tbl>
    <w:p/>
    <w:p>
      <w:r>
        <w:t>(AgentModernize is omitted from this matrix — it is a research paper, not a reference text, and its sole "topic" is the modernization row above, where it is the clear modern counterpart to the AIX guide’s Y2K-era chapters.)</w:t>
      </w:r>
    </w:p>
    <w:p>
      <w:r>
        <w:br w:type="page"/>
      </w:r>
    </w:p>
    <w:p>
      <w:pPr>
        <w:pStyle w:val="Heading1"/>
      </w:pPr>
      <w:r>
        <w:t>4. Recommended Study Plan</w:t>
      </w:r>
    </w:p>
    <w:p>
      <w:r>
        <w:t>A six-phase path through the library, ordered to front-load the highest-leverage material (per Patterns 1–3) and treat the standard, the AIX guide, and the research paper as targeted lookups rather than sequential reads.</w:t>
      </w:r>
    </w:p>
    <w:p>
      <w:pPr>
        <w:pStyle w:val="Heading2"/>
      </w:pPr>
      <w:r>
        <w:t>Phase 1 — Pick ONE on-ramp, not four (Week 1–2)</w:t>
      </w:r>
    </w:p>
    <w:p>
      <w:r>
        <w:t>Given Pattern 1’s redundancy, choose a single beginner track rather than reading several in parallel. "Teach Yourself COBOL in 21 Days" is the most thorough day-by-day progression and is the strongest default choice; "COBOL Programming Fundamental" is a faster, slide-based alternative if you want a 2-day crash course before diving into the longer books.</w:t>
      </w:r>
    </w:p>
    <w:p>
      <w:pPr>
        <w:pStyle w:val="ListBullet"/>
      </w:pPr>
      <w:r>
        <w:t>Primary: "21 Days," Week 1 (Days 1–7) — first program through program design basics.</w:t>
      </w:r>
    </w:p>
    <w:p>
      <w:pPr>
        <w:pStyle w:val="ListBullet"/>
      </w:pPr>
      <w:r>
        <w:t>Fast-track alternative: "COBOL Programming Fundamental," Days 1–2 (condensed slide deck covering the same ground in ~80 pages).</w:t>
      </w:r>
    </w:p>
    <w:p>
      <w:pPr>
        <w:pStyle w:val="Heading2"/>
      </w:pPr>
      <w:r>
        <w:t>Phase 2 — Set up modern tooling in parallel (start immediately, ongoing)</w:t>
      </w:r>
    </w:p>
    <w:p>
      <w:r>
        <w:t>Don’t wait until you "know COBOL" to set up a real environment — do it alongside Phase 1 so every exercise from the tutorial can be typed, compiled, and run for real.</w:t>
      </w:r>
    </w:p>
    <w:p>
      <w:pPr>
        <w:pStyle w:val="ListBullet"/>
      </w:pPr>
      <w:r>
        <w:t>"COBOL Programming with VSCode," Chapters 1–3 (Why COBOL, VSCode + Z Open Editor/ZOWE, installation) — do this in week 1.</w:t>
      </w:r>
    </w:p>
    <w:p>
      <w:pPr>
        <w:pStyle w:val="ListBullet"/>
      </w:pPr>
      <w:r>
        <w:t>Keep VSCode Chapters 4–12 open as a running companion to whichever beginner book you chose; they cover near-identical syntax with modern editor screenshots.</w:t>
      </w:r>
    </w:p>
    <w:p>
      <w:pPr>
        <w:pStyle w:val="Heading2"/>
      </w:pPr>
      <w:r>
        <w:t>Phase 3 — Go deep on file handling (Week 3–4, the Pattern 3 payoff)</w:t>
      </w:r>
    </w:p>
    <w:p>
      <w:r>
        <w:t>This is where Pattern 3 says the real difficulty (and the real job-relevant skill) lives. Budget more time here than the page counts suggest — every source agrees this section is disproportionately hard.</w:t>
      </w:r>
    </w:p>
    <w:p>
      <w:pPr>
        <w:pStyle w:val="ListBullet"/>
      </w:pPr>
      <w:r>
        <w:t>"21 Days" Days 9–14 (File I/O → Indexed Files review) as your spine.</w:t>
      </w:r>
    </w:p>
    <w:p>
      <w:pPr>
        <w:pStyle w:val="ListBullet"/>
      </w:pPr>
      <w:r>
        <w:t>Cross-reference with "24 Hours" Hours 13–17 when a concept doesn’t click — a second explanation of the same material from a different author often resolves the sticking points.</w:t>
      </w:r>
    </w:p>
    <w:p>
      <w:pPr>
        <w:pStyle w:val="ListBullet"/>
      </w:pPr>
      <w:r>
        <w:t>Once the tutorials’ exercises work, switch to the Enterprise COBOL 6.5 Guide Chapters 8–13 (QSAM/VSAM/VSAMDB/sorting) for the authoritative, current-syntax version of the same operations.</w:t>
      </w:r>
    </w:p>
    <w:p>
      <w:pPr>
        <w:pStyle w:val="Heading2"/>
      </w:pPr>
      <w:r>
        <w:t>Phase 4 — Promote the Enterprise COBOL 6.5 Guide to your default reference (ongoing, from Week 4 on)</w:t>
      </w:r>
    </w:p>
    <w:p>
      <w:r>
        <w:t>Once fundamentals are solid, this 1,134-page IBM guide should become the document you reach for first — it is the newest, most complete, and only source covering OO COBOL, CICS/Db2/IMS integration, and Web Services/JSON (Pattern 2).</w:t>
      </w:r>
    </w:p>
    <w:p>
      <w:pPr>
        <w:pStyle w:val="ListBullet"/>
      </w:pPr>
      <w:r>
        <w:t>Part 2 (Ch. 15–22) for compiling, linking, and debugging once you’re running real programs.</w:t>
      </w:r>
    </w:p>
    <w:p>
      <w:pPr>
        <w:pStyle w:val="ListBullet"/>
      </w:pPr>
      <w:r>
        <w:t>Part 5 (Ch. 35–37, Web Services &amp; JSON) and Ch. 17 (OO COBOL) when you’re ready to see what "current" COBOL looks like — useful context if "COBOL_Project" has any modernization angle.</w:t>
      </w:r>
    </w:p>
    <w:p>
      <w:pPr>
        <w:pStyle w:val="Heading2"/>
      </w:pPr>
      <w:r>
        <w:t>Phase 5 — Treat the FIPS standard and the AIX guide as lookup references, not reading material</w:t>
      </w:r>
    </w:p>
    <w:p>
      <w:r>
        <w:t>Both are best consulted on demand rather than read front-to-back.</w:t>
      </w:r>
    </w:p>
    <w:p>
      <w:pPr>
        <w:pStyle w:val="ListBullet"/>
      </w:pPr>
      <w:r>
        <w:t>FIPS PUB 21-2 / ANSI X3.23-1985: dip in only when you need the formal grammar for an edge case the tutorials gloss over — it predates OO COBOL, web services, and Unicode handling, so don’t use it as your mental model of "modern COBOL."</w:t>
      </w:r>
    </w:p>
    <w:p>
      <w:pPr>
        <w:pStyle w:val="ListBullet"/>
      </w:pPr>
      <w:r>
        <w:t>AIX Guide (IGYA1MST): mainly useful if you ever touch AIX-based COBOL specifically, or want historical context on OO conversion (Ch. 16) and Y2K remediation (Ch. 28–29) — otherwise the Enterprise COBOL 6.5 Guide supersedes it for z/OS work.</w:t>
      </w:r>
    </w:p>
    <w:p>
      <w:pPr>
        <w:pStyle w:val="Heading2"/>
      </w:pPr>
      <w:r>
        <w:t>Phase 6 — Read AgentModernize last, with Pattern 4 and Pattern 5 in mind</w:t>
      </w:r>
    </w:p>
    <w:p>
      <w:r>
        <w:t>Save this 11-page paper for after you have a working sense of real COBOL — its central claim (that naive translation breaks hidden business rules) will land much harder once you’ve seen how much implicit logic lives inside something like an indexed-file update routine.</w:t>
      </w:r>
    </w:p>
    <w:p>
      <w:pPr>
        <w:pStyle w:val="ListBullet"/>
      </w:pPr>
      <w:r>
        <w:t>Read it specifically against IGYA1MST Ch. 16 and Ch. 28–29 — noting how a 2026 multi-agent LLM pipeline (Behavioral Specification Graphs, an "Equivalence Validator") formalizes what 1998-era programmers had to do by hand and by instinct.</w:t>
      </w:r>
    </w:p>
    <w:p>
      <w:pPr>
        <w:pStyle w:val="ListBullet"/>
      </w:pPr>
      <w:r>
        <w:t>Use it to settle the Pattern 5 question for yourself: is "COBOL_Project" about becoming fluent in COBOL, building tools that translate it away, or both? That answer should retroactively reorder phases 4–6.</w:t>
      </w:r>
    </w:p>
    <w:p>
      <w:r>
        <w:br w:type="page"/>
      </w:r>
    </w:p>
    <w:p>
      <w:pPr>
        <w:pStyle w:val="Heading1"/>
      </w:pPr>
      <w:r>
        <w:t>5. Before You Commit to This Plan — One Question Worth Answering</w:t>
      </w:r>
    </w:p>
    <w:p>
      <w:r>
        <w:t>Pattern 5 surfaced a genuine fork in the road that this analysis can’t resolve on your behalf, because it depends on what "COBOL_Project" is actually for:</w:t>
      </w:r>
    </w:p>
    <w:p>
      <w:pPr>
        <w:pStyle w:val="ListBullet"/>
      </w:pPr>
      <w:r>
        <w:t>If the goal is to read, write, and maintain COBOL (e.g., supporting an existing system, or building skills for mainframe/enterprise work), the plan above is well-ordered as written — lead with the tutorials and tooling, and treat the Enterprise 6.5 Guide as your long-term reference.</w:t>
      </w:r>
    </w:p>
    <w:p>
      <w:pPr>
        <w:pStyle w:val="ListBullet"/>
      </w:pPr>
      <w:r>
        <w:t>If the goal is closer to the AgentModernize angle — understanding COBOL well enough to translate it, automate around it, or evaluate AI-modernization tools — it would be worth front-loading AgentModernize and the Enterprise 6.5 Guide’s Web Services/JSON chapters (Ch. 35–37) earlier, and reading the older tutorials more for "what does legacy code actually look like" than for "how do I write new COBOL."</w:t>
      </w:r>
    </w:p>
    <w:p>
      <w:r>
        <w:t>Either direction is well-supported by what’s already in this folder — it’s simply a matter of which six or seven sources should anchor your time.</w:t>
      </w:r>
    </w:p>
    <w:p/>
    <w:p>
      <w:pPr>
        <w:pBdr>
          <w:bottom w:val="single" w:sz="6" w:space="1" w:color="2E75B6"/>
        </w:pBdr>
      </w:pPr>
    </w:p>
    <w:p>
      <w:r>
        <w:rPr>
          <w:i/>
          <w:color w:val="595959"/>
          <w:sz w:val="18"/>
        </w:rPr>
        <w:t>Methodology: this report is based on structural analysis of all 8 PDFs — tables of contents, chapter/section listings, publication metadata, and sampled passages (including the full AgentModernize abstract and introduction) — rather than a complete read of all ~6,500 pages. Page/chapter citations above point to where each topic lives so you can verify and explore further on your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