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i w:val="0"/>
          <w:color w:val="000000"/>
          <w:sz w:val="28"/>
        </w:rPr>
        <w:t>BỘ GIÁO DỤC VÀ ĐÀO TẠO          BỘ QUỐC PHÒNG</w:t>
      </w:r>
    </w:p>
    <w:p>
      <w:pPr>
        <w:ind w:firstLine="0"/>
        <w:jc w:val="center"/>
      </w:pPr>
      <w:r>
        <w:rPr>
          <w:rFonts w:ascii="Times New Roman" w:hAnsi="Times New Roman" w:eastAsia="Times New Roman"/>
          <w:b/>
          <w:i w:val="0"/>
          <w:color w:val="000000"/>
          <w:sz w:val="28"/>
        </w:rPr>
        <w:t>HỌC VIỆN KỸ THUẬT QUÂN SỰ</w:t>
      </w:r>
    </w:p>
    <w:p/>
    <w:p/>
    <w:p/>
    <w:p/>
    <w:p>
      <w:pPr>
        <w:ind w:firstLine="0"/>
        <w:jc w:val="center"/>
      </w:pPr>
      <w:r>
        <w:rPr>
          <w:rFonts w:ascii="Times New Roman" w:hAnsi="Times New Roman" w:eastAsia="Times New Roman"/>
          <w:b/>
          <w:i w:val="0"/>
          <w:color w:val="000000"/>
          <w:sz w:val="28"/>
        </w:rPr>
        <w:t>LẠI TIẾN ĐỆ</w:t>
      </w:r>
    </w:p>
    <w:p/>
    <w:p/>
    <w:p>
      <w:pPr>
        <w:ind w:firstLine="0"/>
        <w:jc w:val="center"/>
      </w:pPr>
      <w:r>
        <w:rPr>
          <w:rFonts w:ascii="Times New Roman" w:hAnsi="Times New Roman" w:eastAsia="Times New Roman"/>
          <w:b/>
          <w:i w:val="0"/>
          <w:color w:val="000000"/>
          <w:sz w:val="28"/>
        </w:rPr>
        <w:t>ỨNG DỤNG MẠNG NƠ-RON NHÂN TẠO TRONG GIẢI MÃ LDPC VÀ ĐIỀU CHẾ CHO HỆ THỐNG BIBCM-ID</w:t>
      </w:r>
    </w:p>
    <w:p/>
    <w:p>
      <w:pPr>
        <w:ind w:firstLine="0"/>
        <w:jc w:val="center"/>
      </w:pPr>
      <w:r>
        <w:rPr>
          <w:rFonts w:ascii="Times New Roman" w:hAnsi="Times New Roman" w:eastAsia="Times New Roman"/>
          <w:b/>
          <w:i w:val="0"/>
          <w:color w:val="000000"/>
          <w:sz w:val="28"/>
        </w:rPr>
        <w:t>BẢN TIẾNG VIỆT PHỤC VỤ RÀ SOÁT NỘI DUNG</w:t>
      </w:r>
    </w:p>
    <w:p>
      <w:pPr>
        <w:ind w:firstLine="0"/>
        <w:jc w:val="center"/>
      </w:pPr>
      <w:r>
        <w:rPr>
          <w:rFonts w:ascii="Times New Roman" w:hAnsi="Times New Roman" w:eastAsia="Times New Roman"/>
          <w:b/>
          <w:i w:val="0"/>
          <w:color w:val="000000"/>
          <w:sz w:val="28"/>
        </w:rPr>
        <w:t>Ngành: Kỹ thuật viễn thông</w:t>
      </w:r>
    </w:p>
    <w:p>
      <w:pPr>
        <w:ind w:firstLine="0"/>
        <w:jc w:val="center"/>
      </w:pPr>
      <w:r>
        <w:rPr>
          <w:rFonts w:ascii="Times New Roman" w:hAnsi="Times New Roman" w:eastAsia="Times New Roman"/>
          <w:b/>
          <w:i w:val="0"/>
          <w:color w:val="000000"/>
          <w:sz w:val="28"/>
        </w:rPr>
        <w:t>Chuyên ngành: Kỹ thuật viễn thông</w:t>
      </w:r>
    </w:p>
    <w:p/>
    <w:p/>
    <w:p/>
    <w:p/>
    <w:p>
      <w:pPr>
        <w:ind w:firstLine="0"/>
        <w:jc w:val="center"/>
      </w:pPr>
      <w:r>
        <w:rPr>
          <w:rFonts w:ascii="Times New Roman" w:hAnsi="Times New Roman" w:eastAsia="Times New Roman"/>
          <w:b/>
          <w:i w:val="0"/>
          <w:color w:val="000000"/>
          <w:sz w:val="28"/>
        </w:rPr>
        <w:t>Hà Nội - Năm 2026</w:t>
      </w:r>
    </w:p>
    <w:p>
      <w:r>
        <w:br w:type="page"/>
      </w:r>
    </w:p>
    <w:p>
      <w:pPr>
        <w:pStyle w:val="Heading1"/>
        <w:ind w:firstLine="0"/>
      </w:pPr>
      <w:r>
        <w:rPr>
          <w:rFonts w:ascii="Times New Roman" w:hAnsi="Times New Roman" w:eastAsia="Times New Roman"/>
          <w:b w:val="0"/>
          <w:i w:val="0"/>
          <w:color w:val="000000"/>
          <w:sz w:val="28"/>
        </w:rPr>
        <w:t>GHI CHÚ VỀ BẢN DỊCH</w:t>
      </w:r>
    </w:p>
    <w:p>
      <w:r>
        <w:rPr>
          <w:rFonts w:ascii="Times New Roman" w:hAnsi="Times New Roman" w:eastAsia="Times New Roman"/>
          <w:b w:val="0"/>
          <w:i w:val="0"/>
          <w:color w:val="000000"/>
          <w:sz w:val="28"/>
        </w:rPr>
        <w:t>Tài liệu này là bản tiếng Việt dùng để kiểm tra nội dung, logic trình bày và phạm vi khoa học của bản luận văn tiếng Anh. Nội dung được chuyển sang tiếng Việt theo văn phong học thuật kỹ thuật, giữ cấu trúc ba chương, các công thức chính và các hình minh họa. Khi nộp chính thức, cần thống nhất với bản tiếng Anh hoặc yêu cầu của cơ sở đào tạo về ngôn ngữ trình bày.</w:t>
      </w:r>
    </w:p>
    <w:p>
      <w:r>
        <w:br w:type="page"/>
      </w:r>
    </w:p>
    <w:p>
      <w:pPr>
        <w:pStyle w:val="Heading1"/>
        <w:ind w:firstLine="0"/>
      </w:pPr>
      <w:r>
        <w:rPr>
          <w:rFonts w:ascii="Times New Roman" w:hAnsi="Times New Roman" w:eastAsia="Times New Roman"/>
          <w:b w:val="0"/>
          <w:i w:val="0"/>
          <w:color w:val="000000"/>
          <w:sz w:val="28"/>
        </w:rPr>
        <w:t>TÓM TẮT</w:t>
      </w:r>
    </w:p>
    <w:p>
      <w:r>
        <w:rPr>
          <w:rFonts w:ascii="Times New Roman" w:hAnsi="Times New Roman" w:eastAsia="Times New Roman"/>
          <w:b w:val="0"/>
          <w:i w:val="0"/>
          <w:color w:val="000000"/>
          <w:sz w:val="28"/>
        </w:rPr>
        <w:t>Luận văn nghiên cứu khả năng ứng dụng mạng nơ-ron nhân tạo trong hai thành phần liên quan đến hệ thống điều chế mã hóa bit có giải mã lặp BIBCM-ID: giải mã kênh LDPC và điều chế. Hệ thống BIBCM-ID được nhìn nhận thông qua ba khối cơ bản gồm điều chế, mã kênh và bộ xen kẽ. Thiết kế bộ xen kẽ là một hướng nghiên cứu đã có nhiều kết quả chuyên sâu, do đó luận văn này không đề xuất bộ xen kẽ mới mà tập trung vào hai khối còn lại.</w:t>
      </w:r>
    </w:p>
    <w:p>
      <w:r>
        <w:rPr>
          <w:rFonts w:ascii="Times New Roman" w:hAnsi="Times New Roman" w:eastAsia="Times New Roman"/>
          <w:b w:val="0"/>
          <w:i w:val="0"/>
          <w:color w:val="000000"/>
          <w:sz w:val="28"/>
        </w:rPr>
        <w:t>Đối với giải mã kênh, luận văn phân tích mô hình mạng nơ-ron hỗ trợ cập nhật nút kiểm tra trong giải mã LDPC. Phương pháp này hướng tới phép cập nhật phi tuyến trong thuật toán Sum-Product, vốn có chi phí tính toán cao khi triển khai phần cứng. Đối với điều chế, luận văn phân tích điều chế dựa trên Autoencoder trong các điều kiện kênh không lý tưởng như méo phi tuyến bộ khuếch đại công suất, lệch tần số sóng mang, fading Rayleigh và nhiễu liên ký hiệu.</w:t>
      </w:r>
    </w:p>
    <w:p>
      <w:r>
        <w:rPr>
          <w:rFonts w:ascii="Times New Roman" w:hAnsi="Times New Roman" w:eastAsia="Times New Roman"/>
          <w:b w:val="0"/>
          <w:i w:val="0"/>
          <w:color w:val="000000"/>
          <w:sz w:val="28"/>
        </w:rPr>
        <w:t>Bản luận văn không khẳng định rằng hai cải tiến đã được tích hợp hoàn chỉnh vào một chuỗi BIBCM-ID duy nhất. Các kết quả có sẵn được sử dụng để phân tích tiềm năng, giới hạn và điều kiện cần thiết cho các nghiên cứu tích hợp tiếp theo.</w:t>
      </w:r>
    </w:p>
    <w:p>
      <w:r>
        <w:br w:type="page"/>
      </w:r>
    </w:p>
    <w:p>
      <w:pPr>
        <w:pStyle w:val="Heading1"/>
        <w:ind w:firstLine="0"/>
      </w:pPr>
      <w:r>
        <w:rPr>
          <w:rFonts w:ascii="Times New Roman" w:hAnsi="Times New Roman" w:eastAsia="Times New Roman"/>
          <w:b w:val="0"/>
          <w:i w:val="0"/>
          <w:color w:val="000000"/>
          <w:sz w:val="28"/>
        </w:rPr>
        <w:t>MỤC LỤC TÓM TẮT</w:t>
      </w:r>
    </w:p>
    <w:p>
      <w:r>
        <w:rPr>
          <w:rFonts w:ascii="Times New Roman" w:hAnsi="Times New Roman" w:eastAsia="Times New Roman"/>
          <w:b w:val="0"/>
          <w:i w:val="0"/>
          <w:color w:val="000000"/>
          <w:sz w:val="28"/>
        </w:rPr>
        <w:t>Chương 1. Cơ sở hệ thống BIBCM-ID và phạm vi nghiên cứu</w:t>
      </w:r>
    </w:p>
    <w:p>
      <w:r>
        <w:rPr>
          <w:rFonts w:ascii="Times New Roman" w:hAnsi="Times New Roman" w:eastAsia="Times New Roman"/>
          <w:b w:val="0"/>
          <w:i w:val="0"/>
          <w:color w:val="000000"/>
          <w:sz w:val="28"/>
        </w:rPr>
        <w:t>Chương 2. Giải mã LDPC có hỗ trợ ANN</w:t>
      </w:r>
    </w:p>
    <w:p>
      <w:r>
        <w:rPr>
          <w:rFonts w:ascii="Times New Roman" w:hAnsi="Times New Roman" w:eastAsia="Times New Roman"/>
          <w:b w:val="0"/>
          <w:i w:val="0"/>
          <w:color w:val="000000"/>
          <w:sz w:val="28"/>
        </w:rPr>
        <w:t>Chương 3. Học sâu cho điều chế thông minh</w:t>
      </w:r>
    </w:p>
    <w:p>
      <w:r>
        <w:rPr>
          <w:rFonts w:ascii="Times New Roman" w:hAnsi="Times New Roman" w:eastAsia="Times New Roman"/>
          <w:b w:val="0"/>
          <w:i w:val="0"/>
          <w:color w:val="000000"/>
          <w:sz w:val="28"/>
        </w:rPr>
        <w:t>Kết luận và khuyến nghị</w:t>
      </w:r>
    </w:p>
    <w:p>
      <w:r>
        <w:rPr>
          <w:rFonts w:ascii="Times New Roman" w:hAnsi="Times New Roman" w:eastAsia="Times New Roman"/>
          <w:b w:val="0"/>
          <w:i w:val="0"/>
          <w:color w:val="000000"/>
          <w:sz w:val="28"/>
        </w:rPr>
        <w:t>Tài liệu tham khảo</w:t>
      </w:r>
    </w:p>
    <w:p>
      <w:r>
        <w:rPr>
          <w:rFonts w:ascii="Times New Roman" w:hAnsi="Times New Roman" w:eastAsia="Times New Roman"/>
          <w:b w:val="0"/>
          <w:i w:val="0"/>
          <w:color w:val="000000"/>
          <w:sz w:val="28"/>
        </w:rPr>
        <w:t>Phụ lục</w:t>
      </w:r>
    </w:p>
    <w:p>
      <w:pPr>
        <w:pStyle w:val="Heading1"/>
        <w:ind w:firstLine="0"/>
      </w:pPr>
      <w:r>
        <w:rPr>
          <w:rFonts w:ascii="Times New Roman" w:hAnsi="Times New Roman" w:eastAsia="Times New Roman"/>
          <w:b w:val="0"/>
          <w:i w:val="0"/>
          <w:color w:val="000000"/>
          <w:sz w:val="28"/>
        </w:rPr>
        <w:t>DANH MỤC CHỮ VIẾT TẮT</w:t>
      </w:r>
    </w:p>
    <w:p>
      <w:pPr>
        <w:spacing w:before="120" w:after="80"/>
        <w:ind w:firstLine="0"/>
        <w:jc w:val="center"/>
      </w:pPr>
      <w:r>
        <w:rPr>
          <w:rFonts w:ascii="Times New Roman" w:hAnsi="Times New Roman" w:eastAsia="Times New Roman"/>
          <w:b w:val="0"/>
          <w:i/>
          <w:color w:val="000000"/>
          <w:sz w:val="28"/>
        </w:rPr>
        <w:t>Bảng 0.1. Danh mục chữ viết tắt.</w:t>
      </w:r>
    </w:p>
    <w:tbl>
      <w:tblPr>
        <w:tblStyle w:val="TableGrid"/>
        <w:tblW w:type="auto" w:w="0"/>
        <w:jc w:val="center"/>
        <w:tblLook w:firstColumn="1" w:firstRow="1" w:lastColumn="0" w:lastRow="0" w:noHBand="0" w:noVBand="1" w:val="04A0"/>
      </w:tblPr>
      <w:tblGrid>
        <w:gridCol w:w="4394"/>
        <w:gridCol w:w="4394"/>
      </w:tblGrid>
      <w:tr>
        <w:tc>
          <w:tcPr>
            <w:tcW w:type="dxa" w:w="4394"/>
            <w:shd w:fill="F2F2F2"/>
            <w:vAlign w:val="center"/>
          </w:tcPr>
          <w:p>
            <w:pPr>
              <w:ind w:firstLine="0"/>
            </w:pPr>
            <w:r>
              <w:rPr>
                <w:rFonts w:ascii="Times New Roman" w:hAnsi="Times New Roman" w:eastAsia="Times New Roman"/>
                <w:b w:val="0"/>
                <w:i w:val="0"/>
                <w:color w:val="000000"/>
                <w:sz w:val="22"/>
              </w:rPr>
              <w:t>Viết tắt</w:t>
            </w:r>
          </w:p>
        </w:tc>
        <w:tc>
          <w:tcPr>
            <w:tcW w:type="dxa" w:w="4394"/>
            <w:shd w:fill="F2F2F2"/>
            <w:vAlign w:val="center"/>
          </w:tcPr>
          <w:p>
            <w:pPr>
              <w:ind w:firstLine="0"/>
            </w:pPr>
            <w:r>
              <w:rPr>
                <w:rFonts w:ascii="Times New Roman" w:hAnsi="Times New Roman" w:eastAsia="Times New Roman"/>
                <w:b w:val="0"/>
                <w:i w:val="0"/>
                <w:color w:val="000000"/>
                <w:sz w:val="22"/>
              </w:rPr>
              <w:t>Ý nghĩa</w:t>
            </w:r>
          </w:p>
        </w:tc>
      </w:tr>
      <w:tr>
        <w:tc>
          <w:tcPr>
            <w:tcW w:type="dxa" w:w="4394"/>
            <w:vAlign w:val="center"/>
          </w:tcPr>
          <w:p>
            <w:pPr>
              <w:ind w:firstLine="0"/>
            </w:pPr>
            <w:r>
              <w:rPr>
                <w:rFonts w:ascii="Times New Roman" w:hAnsi="Times New Roman" w:eastAsia="Times New Roman"/>
                <w:b w:val="0"/>
                <w:i w:val="0"/>
                <w:color w:val="000000"/>
                <w:sz w:val="22"/>
              </w:rPr>
              <w:t>ANN</w:t>
            </w:r>
          </w:p>
        </w:tc>
        <w:tc>
          <w:tcPr>
            <w:tcW w:type="dxa" w:w="4394"/>
            <w:vAlign w:val="center"/>
          </w:tcPr>
          <w:p>
            <w:pPr>
              <w:ind w:firstLine="0"/>
            </w:pPr>
            <w:r>
              <w:rPr>
                <w:rFonts w:ascii="Times New Roman" w:hAnsi="Times New Roman" w:eastAsia="Times New Roman"/>
                <w:b w:val="0"/>
                <w:i w:val="0"/>
                <w:color w:val="000000"/>
                <w:sz w:val="22"/>
              </w:rPr>
              <w:t>Mạng nơ-ron nhân tạo</w:t>
            </w:r>
          </w:p>
        </w:tc>
      </w:tr>
      <w:tr>
        <w:tc>
          <w:tcPr>
            <w:tcW w:type="dxa" w:w="4394"/>
            <w:vAlign w:val="center"/>
          </w:tcPr>
          <w:p>
            <w:pPr>
              <w:ind w:firstLine="0"/>
            </w:pPr>
            <w:r>
              <w:rPr>
                <w:rFonts w:ascii="Times New Roman" w:hAnsi="Times New Roman" w:eastAsia="Times New Roman"/>
                <w:b w:val="0"/>
                <w:i w:val="0"/>
                <w:color w:val="000000"/>
                <w:sz w:val="22"/>
              </w:rPr>
              <w:t>AWGN</w:t>
            </w:r>
          </w:p>
        </w:tc>
        <w:tc>
          <w:tcPr>
            <w:tcW w:type="dxa" w:w="4394"/>
            <w:vAlign w:val="center"/>
          </w:tcPr>
          <w:p>
            <w:pPr>
              <w:ind w:firstLine="0"/>
            </w:pPr>
            <w:r>
              <w:rPr>
                <w:rFonts w:ascii="Times New Roman" w:hAnsi="Times New Roman" w:eastAsia="Times New Roman"/>
                <w:b w:val="0"/>
                <w:i w:val="0"/>
                <w:color w:val="000000"/>
                <w:sz w:val="22"/>
              </w:rPr>
              <w:t>Nhiễu Gaussian trắng cộng</w:t>
            </w:r>
          </w:p>
        </w:tc>
      </w:tr>
      <w:tr>
        <w:tc>
          <w:tcPr>
            <w:tcW w:type="dxa" w:w="4394"/>
            <w:vAlign w:val="center"/>
          </w:tcPr>
          <w:p>
            <w:pPr>
              <w:ind w:firstLine="0"/>
            </w:pPr>
            <w:r>
              <w:rPr>
                <w:rFonts w:ascii="Times New Roman" w:hAnsi="Times New Roman" w:eastAsia="Times New Roman"/>
                <w:b w:val="0"/>
                <w:i w:val="0"/>
                <w:color w:val="000000"/>
                <w:sz w:val="22"/>
              </w:rPr>
              <w:t>BER</w:t>
            </w:r>
          </w:p>
        </w:tc>
        <w:tc>
          <w:tcPr>
            <w:tcW w:type="dxa" w:w="4394"/>
            <w:vAlign w:val="center"/>
          </w:tcPr>
          <w:p>
            <w:pPr>
              <w:ind w:firstLine="0"/>
            </w:pPr>
            <w:r>
              <w:rPr>
                <w:rFonts w:ascii="Times New Roman" w:hAnsi="Times New Roman" w:eastAsia="Times New Roman"/>
                <w:b w:val="0"/>
                <w:i w:val="0"/>
                <w:color w:val="000000"/>
                <w:sz w:val="22"/>
              </w:rPr>
              <w:t>Tỷ lệ lỗi bit</w:t>
            </w:r>
          </w:p>
        </w:tc>
      </w:tr>
      <w:tr>
        <w:tc>
          <w:tcPr>
            <w:tcW w:type="dxa" w:w="4394"/>
            <w:vAlign w:val="center"/>
          </w:tcPr>
          <w:p>
            <w:pPr>
              <w:ind w:firstLine="0"/>
            </w:pPr>
            <w:r>
              <w:rPr>
                <w:rFonts w:ascii="Times New Roman" w:hAnsi="Times New Roman" w:eastAsia="Times New Roman"/>
                <w:b w:val="0"/>
                <w:i w:val="0"/>
                <w:color w:val="000000"/>
                <w:sz w:val="22"/>
              </w:rPr>
              <w:t>BIBCM-ID</w:t>
            </w:r>
          </w:p>
        </w:tc>
        <w:tc>
          <w:tcPr>
            <w:tcW w:type="dxa" w:w="4394"/>
            <w:vAlign w:val="center"/>
          </w:tcPr>
          <w:p>
            <w:pPr>
              <w:ind w:firstLine="0"/>
            </w:pPr>
            <w:r>
              <w:rPr>
                <w:rFonts w:ascii="Times New Roman" w:hAnsi="Times New Roman" w:eastAsia="Times New Roman"/>
                <w:b w:val="0"/>
                <w:i w:val="0"/>
                <w:color w:val="000000"/>
                <w:sz w:val="22"/>
              </w:rPr>
              <w:t>Điều chế mã hóa bit có giải mã lặp</w:t>
            </w:r>
          </w:p>
        </w:tc>
      </w:tr>
      <w:tr>
        <w:tc>
          <w:tcPr>
            <w:tcW w:type="dxa" w:w="4394"/>
            <w:vAlign w:val="center"/>
          </w:tcPr>
          <w:p>
            <w:pPr>
              <w:ind w:firstLine="0"/>
            </w:pPr>
            <w:r>
              <w:rPr>
                <w:rFonts w:ascii="Times New Roman" w:hAnsi="Times New Roman" w:eastAsia="Times New Roman"/>
                <w:b w:val="0"/>
                <w:i w:val="0"/>
                <w:color w:val="000000"/>
                <w:sz w:val="22"/>
              </w:rPr>
              <w:t>CN</w:t>
            </w:r>
          </w:p>
        </w:tc>
        <w:tc>
          <w:tcPr>
            <w:tcW w:type="dxa" w:w="4394"/>
            <w:vAlign w:val="center"/>
          </w:tcPr>
          <w:p>
            <w:pPr>
              <w:ind w:firstLine="0"/>
            </w:pPr>
            <w:r>
              <w:rPr>
                <w:rFonts w:ascii="Times New Roman" w:hAnsi="Times New Roman" w:eastAsia="Times New Roman"/>
                <w:b w:val="0"/>
                <w:i w:val="0"/>
                <w:color w:val="000000"/>
                <w:sz w:val="22"/>
              </w:rPr>
              <w:t>Nút kiểm tra</w:t>
            </w:r>
          </w:p>
        </w:tc>
      </w:tr>
      <w:tr>
        <w:tc>
          <w:tcPr>
            <w:tcW w:type="dxa" w:w="4394"/>
            <w:vAlign w:val="center"/>
          </w:tcPr>
          <w:p>
            <w:pPr>
              <w:ind w:firstLine="0"/>
            </w:pPr>
            <w:r>
              <w:rPr>
                <w:rFonts w:ascii="Times New Roman" w:hAnsi="Times New Roman" w:eastAsia="Times New Roman"/>
                <w:b w:val="0"/>
                <w:i w:val="0"/>
                <w:color w:val="000000"/>
                <w:sz w:val="22"/>
              </w:rPr>
              <w:t>LDPC</w:t>
            </w:r>
          </w:p>
        </w:tc>
        <w:tc>
          <w:tcPr>
            <w:tcW w:type="dxa" w:w="4394"/>
            <w:vAlign w:val="center"/>
          </w:tcPr>
          <w:p>
            <w:pPr>
              <w:ind w:firstLine="0"/>
            </w:pPr>
            <w:r>
              <w:rPr>
                <w:rFonts w:ascii="Times New Roman" w:hAnsi="Times New Roman" w:eastAsia="Times New Roman"/>
                <w:b w:val="0"/>
                <w:i w:val="0"/>
                <w:color w:val="000000"/>
                <w:sz w:val="22"/>
              </w:rPr>
              <w:t>Mã kiểm tra chẵn lẻ mật độ thấp</w:t>
            </w:r>
          </w:p>
        </w:tc>
      </w:tr>
      <w:tr>
        <w:tc>
          <w:tcPr>
            <w:tcW w:type="dxa" w:w="4394"/>
            <w:vAlign w:val="center"/>
          </w:tcPr>
          <w:p>
            <w:pPr>
              <w:ind w:firstLine="0"/>
            </w:pPr>
            <w:r>
              <w:rPr>
                <w:rFonts w:ascii="Times New Roman" w:hAnsi="Times New Roman" w:eastAsia="Times New Roman"/>
                <w:b w:val="0"/>
                <w:i w:val="0"/>
                <w:color w:val="000000"/>
                <w:sz w:val="22"/>
              </w:rPr>
              <w:t>LLR</w:t>
            </w:r>
          </w:p>
        </w:tc>
        <w:tc>
          <w:tcPr>
            <w:tcW w:type="dxa" w:w="4394"/>
            <w:vAlign w:val="center"/>
          </w:tcPr>
          <w:p>
            <w:pPr>
              <w:ind w:firstLine="0"/>
            </w:pPr>
            <w:r>
              <w:rPr>
                <w:rFonts w:ascii="Times New Roman" w:hAnsi="Times New Roman" w:eastAsia="Times New Roman"/>
                <w:b w:val="0"/>
                <w:i w:val="0"/>
                <w:color w:val="000000"/>
                <w:sz w:val="22"/>
              </w:rPr>
              <w:t>Tỷ số log-hợp lý</w:t>
            </w:r>
          </w:p>
        </w:tc>
      </w:tr>
      <w:tr>
        <w:tc>
          <w:tcPr>
            <w:tcW w:type="dxa" w:w="4394"/>
            <w:vAlign w:val="center"/>
          </w:tcPr>
          <w:p>
            <w:pPr>
              <w:ind w:firstLine="0"/>
            </w:pPr>
            <w:r>
              <w:rPr>
                <w:rFonts w:ascii="Times New Roman" w:hAnsi="Times New Roman" w:eastAsia="Times New Roman"/>
                <w:b w:val="0"/>
                <w:i w:val="0"/>
                <w:color w:val="000000"/>
                <w:sz w:val="22"/>
              </w:rPr>
              <w:t>MLP</w:t>
            </w:r>
          </w:p>
        </w:tc>
        <w:tc>
          <w:tcPr>
            <w:tcW w:type="dxa" w:w="4394"/>
            <w:vAlign w:val="center"/>
          </w:tcPr>
          <w:p>
            <w:pPr>
              <w:ind w:firstLine="0"/>
            </w:pPr>
            <w:r>
              <w:rPr>
                <w:rFonts w:ascii="Times New Roman" w:hAnsi="Times New Roman" w:eastAsia="Times New Roman"/>
                <w:b w:val="0"/>
                <w:i w:val="0"/>
                <w:color w:val="000000"/>
                <w:sz w:val="22"/>
              </w:rPr>
              <w:t>Mạng truyền thẳng nhiều lớp</w:t>
            </w:r>
          </w:p>
        </w:tc>
      </w:tr>
      <w:tr>
        <w:tc>
          <w:tcPr>
            <w:tcW w:type="dxa" w:w="4394"/>
            <w:vAlign w:val="center"/>
          </w:tcPr>
          <w:p>
            <w:pPr>
              <w:ind w:firstLine="0"/>
            </w:pPr>
            <w:r>
              <w:rPr>
                <w:rFonts w:ascii="Times New Roman" w:hAnsi="Times New Roman" w:eastAsia="Times New Roman"/>
                <w:b w:val="0"/>
                <w:i w:val="0"/>
                <w:color w:val="000000"/>
                <w:sz w:val="22"/>
              </w:rPr>
              <w:t>SPA</w:t>
            </w:r>
          </w:p>
        </w:tc>
        <w:tc>
          <w:tcPr>
            <w:tcW w:type="dxa" w:w="4394"/>
            <w:vAlign w:val="center"/>
          </w:tcPr>
          <w:p>
            <w:pPr>
              <w:ind w:firstLine="0"/>
            </w:pPr>
            <w:r>
              <w:rPr>
                <w:rFonts w:ascii="Times New Roman" w:hAnsi="Times New Roman" w:eastAsia="Times New Roman"/>
                <w:b w:val="0"/>
                <w:i w:val="0"/>
                <w:color w:val="000000"/>
                <w:sz w:val="22"/>
              </w:rPr>
              <w:t>Thuật toán Sum-Product</w:t>
            </w:r>
          </w:p>
        </w:tc>
      </w:tr>
      <w:tr>
        <w:tc>
          <w:tcPr>
            <w:tcW w:type="dxa" w:w="4394"/>
            <w:vAlign w:val="center"/>
          </w:tcPr>
          <w:p>
            <w:pPr>
              <w:ind w:firstLine="0"/>
            </w:pPr>
            <w:r>
              <w:rPr>
                <w:rFonts w:ascii="Times New Roman" w:hAnsi="Times New Roman" w:eastAsia="Times New Roman"/>
                <w:b w:val="0"/>
                <w:i w:val="0"/>
                <w:color w:val="000000"/>
                <w:sz w:val="22"/>
              </w:rPr>
              <w:t>VN</w:t>
            </w:r>
          </w:p>
        </w:tc>
        <w:tc>
          <w:tcPr>
            <w:tcW w:type="dxa" w:w="4394"/>
            <w:vAlign w:val="center"/>
          </w:tcPr>
          <w:p>
            <w:pPr>
              <w:ind w:firstLine="0"/>
            </w:pPr>
            <w:r>
              <w:rPr>
                <w:rFonts w:ascii="Times New Roman" w:hAnsi="Times New Roman" w:eastAsia="Times New Roman"/>
                <w:b w:val="0"/>
                <w:i w:val="0"/>
                <w:color w:val="000000"/>
                <w:sz w:val="22"/>
              </w:rPr>
              <w:t>Nút biến</w:t>
            </w:r>
          </w:p>
        </w:tc>
      </w:tr>
    </w:tbl>
    <w:p>
      <w:r>
        <w:br w:type="page"/>
      </w:r>
    </w:p>
    <w:p>
      <w:pPr>
        <w:pStyle w:val="Heading1"/>
        <w:ind w:firstLine="0"/>
      </w:pPr>
      <w:r>
        <w:rPr>
          <w:rFonts w:ascii="Times New Roman" w:hAnsi="Times New Roman" w:eastAsia="Times New Roman"/>
          <w:b w:val="0"/>
          <w:i w:val="0"/>
          <w:color w:val="000000"/>
          <w:sz w:val="28"/>
        </w:rPr>
        <w:t>CHƯƠNG 1. CƠ SỞ HỆ THỐNG BIBCM-ID VÀ PHẠM VI NGHIÊN CỨU</w:t>
      </w:r>
    </w:p>
    <w:p>
      <w:pPr>
        <w:pStyle w:val="Heading2"/>
        <w:ind w:firstLine="0"/>
      </w:pPr>
      <w:r>
        <w:rPr>
          <w:rFonts w:ascii="Times New Roman" w:hAnsi="Times New Roman" w:eastAsia="Times New Roman"/>
          <w:b w:val="0"/>
          <w:i w:val="0"/>
          <w:color w:val="000000"/>
          <w:sz w:val="28"/>
        </w:rPr>
        <w:t>1.1. Động cơ nghiên cứu</w:t>
      </w:r>
    </w:p>
    <w:p>
      <w:r>
        <w:rPr>
          <w:rFonts w:ascii="Times New Roman" w:hAnsi="Times New Roman" w:eastAsia="Times New Roman"/>
          <w:b w:val="0"/>
          <w:i w:val="0"/>
          <w:color w:val="000000"/>
          <w:sz w:val="28"/>
        </w:rPr>
        <w:t>Các hệ thống thông tin hiện đại cần đồng thời đạt hiệu suất phổ cao, độ tin cậy lớn và khả năng hoạt động trong điều kiện phần cứng cũng như kênh truyền không lý tưởng. Thiết kế truyền thống thường tách điều chế, mã hóa và phát hiện thành các bài toán riêng. Tuy nhiên, khi hệ thống làm việc gần giới hạn hiệu năng, cách tách rời này không luôn phản ánh đầy đủ sự phụ thuộc giữa các khối.</w:t>
      </w:r>
    </w:p>
    <w:p>
      <w:r>
        <w:rPr>
          <w:rFonts w:ascii="Times New Roman" w:hAnsi="Times New Roman" w:eastAsia="Times New Roman"/>
          <w:b w:val="0"/>
          <w:i w:val="0"/>
          <w:color w:val="000000"/>
          <w:sz w:val="28"/>
        </w:rPr>
        <w:t>BIBCM-ID kết hợp điều chế mã hóa bit với cơ chế giải mã lặp. Bộ giải điều chế tạo ra thông tin mềm dưới dạng LLR, bộ giải mã kênh cập nhật độ tin cậy theo ràng buộc mã, sau đó thông tin ngoại lai được phản hồi trở lại bộ giải điều chế. Cơ chế này có thể cải thiện hiệu năng qua các vòng lặp, nhưng đồng thời làm hệ thống nhạy với chất lượng của bản tin trao đổi.</w:t>
      </w:r>
    </w:p>
    <w:p>
      <w:r>
        <w:rPr>
          <w:rFonts w:ascii="Times New Roman" w:hAnsi="Times New Roman" w:eastAsia="Times New Roman"/>
          <w:b w:val="0"/>
          <w:i w:val="0"/>
          <w:color w:val="000000"/>
          <w:sz w:val="28"/>
        </w:rPr>
        <w:t>Luận văn xuất phát từ quan sát rằng BIBCM-ID gồm ba thành phần chính: điều chế, mã kênh và bộ xen kẽ. Bộ xen kẽ đã được nghiên cứu sâu theo nhiều hướng như xen kẽ đại số, xen kẽ ngẫu nhiên có ràng buộc, xen kẽ tối ưu và xen kẽ phù hợp phần cứng. Vì vậy, luận văn tập trung vào điều chế và giải mã kênh, nơi các ánh xạ phi tuyến và sai lệch mô hình thể hiện rõ hơn.</w:t>
      </w:r>
    </w:p>
    <w:p>
      <w:pPr>
        <w:pStyle w:val="Heading2"/>
        <w:ind w:firstLine="0"/>
      </w:pPr>
      <w:r>
        <w:rPr>
          <w:rFonts w:ascii="Times New Roman" w:hAnsi="Times New Roman" w:eastAsia="Times New Roman"/>
          <w:b w:val="0"/>
          <w:i w:val="0"/>
          <w:color w:val="000000"/>
          <w:sz w:val="28"/>
        </w:rPr>
        <w:t>1.2. Ba thành phần chính của BIBCM-ID</w:t>
      </w:r>
    </w:p>
    <w:p>
      <w:pPr>
        <w:pStyle w:val="Heading3"/>
        <w:ind w:firstLine="0"/>
      </w:pPr>
      <w:r>
        <w:rPr>
          <w:rFonts w:ascii="Times New Roman" w:hAnsi="Times New Roman" w:eastAsia="Times New Roman"/>
          <w:b w:val="0"/>
          <w:i w:val="0"/>
          <w:color w:val="000000"/>
          <w:sz w:val="28"/>
        </w:rPr>
        <w:t>1.2.1. Điều chế</w:t>
      </w:r>
    </w:p>
    <w:p>
      <w:r>
        <w:rPr>
          <w:rFonts w:ascii="Times New Roman" w:hAnsi="Times New Roman" w:eastAsia="Times New Roman"/>
          <w:b w:val="0"/>
          <w:i w:val="0"/>
          <w:color w:val="000000"/>
          <w:sz w:val="28"/>
        </w:rPr>
        <w:t>Điều chế ánh xạ các bit đã mã hóa thành ký hiệu truyền. Trong BIBCM-ID, điều chế không chỉ quyết định hiệu suất phổ mà còn ảnh hưởng trực tiếp đến độ tin cậy bit do bộ giải điều chế tạo ra. Khi kênh không lý tưởng, chòm sao điều chế có thể bị nén, xoay pha hoặc phân tán, làm công thức LLR truyền thống không còn phù hợp hoàn toàn.</w:t>
      </w:r>
    </w:p>
    <w:p>
      <w:pPr>
        <w:pStyle w:val="Heading3"/>
        <w:ind w:firstLine="0"/>
      </w:pPr>
      <w:r>
        <w:rPr>
          <w:rFonts w:ascii="Times New Roman" w:hAnsi="Times New Roman" w:eastAsia="Times New Roman"/>
          <w:b w:val="0"/>
          <w:i w:val="0"/>
          <w:color w:val="000000"/>
          <w:sz w:val="28"/>
        </w:rPr>
        <w:t>1.2.2. Mã kênh</w:t>
      </w:r>
    </w:p>
    <w:p>
      <w:r>
        <w:rPr>
          <w:rFonts w:ascii="Times New Roman" w:hAnsi="Times New Roman" w:eastAsia="Times New Roman"/>
          <w:b w:val="0"/>
          <w:i w:val="0"/>
          <w:color w:val="000000"/>
          <w:sz w:val="28"/>
        </w:rPr>
        <w:t>Mã kênh tạo dư thừa có cấu trúc để phát hiện và sửa lỗi. Mã LDPC đặc biệt phù hợp với giải mã lặp nhờ biểu diễn đồ thị Tanner thưa. Trong luận văn này, trọng tâm là cập nhật nút kiểm tra của thuật toán SPA, vì đây là bước có độ phức tạp phi tuyến cao và có thể được xấp xỉ bằng ANN.</w:t>
      </w:r>
    </w:p>
    <w:p>
      <w:pPr>
        <w:pStyle w:val="Heading3"/>
        <w:ind w:firstLine="0"/>
      </w:pPr>
      <w:r>
        <w:rPr>
          <w:rFonts w:ascii="Times New Roman" w:hAnsi="Times New Roman" w:eastAsia="Times New Roman"/>
          <w:b w:val="0"/>
          <w:i w:val="0"/>
          <w:color w:val="000000"/>
          <w:sz w:val="28"/>
        </w:rPr>
        <w:t>1.2.3. Bộ xen kẽ</w:t>
      </w:r>
    </w:p>
    <w:p>
      <w:r>
        <w:rPr>
          <w:rFonts w:ascii="Times New Roman" w:hAnsi="Times New Roman" w:eastAsia="Times New Roman"/>
          <w:b w:val="0"/>
          <w:i w:val="0"/>
          <w:color w:val="000000"/>
          <w:sz w:val="28"/>
        </w:rPr>
        <w:t>Bộ xen kẽ hoán vị các bit mã hóa trước khi điều chế nhằm giảm tương quan và phân tán lỗi. Trong BIBCM-ID, bộ xen kẽ hỗ trợ nguyên lý thông tin ngoại lai bằng cách làm giảm phụ thuộc thống kê giữa các bản tin lặp. Luận văn thừa nhận vai trò này nhưng không đề xuất cấu trúc xen kẽ mới.</w:t>
      </w:r>
    </w:p>
    <w:p>
      <w:pPr>
        <w:spacing w:before="120" w:after="120"/>
        <w:ind w:firstLine="0"/>
        <w:jc w:val="center"/>
      </w:pPr>
      <m:oMathPara>
        <m:oMath>
          <m:r>
            <m:t>u → c = Encoder(u),   π(c) = interleaved coded bits,   x = μ(π(c))</m:t>
          </m:r>
        </m:oMath>
      </m:oMathPara>
      <w:r>
        <w:rPr>
          <w:rFonts w:ascii="Times New Roman" w:hAnsi="Times New Roman" w:eastAsia="Times New Roman"/>
          <w:b w:val="0"/>
          <w:i w:val="0"/>
          <w:color w:val="000000"/>
          <w:sz w:val="28"/>
        </w:rPr>
        <w:t xml:space="preserve">        (1.1)</w:t>
      </w:r>
    </w:p>
    <w:p>
      <w:r>
        <w:rPr>
          <w:rFonts w:ascii="Times New Roman" w:hAnsi="Times New Roman" w:eastAsia="Times New Roman"/>
          <w:b w:val="0"/>
          <w:i w:val="0"/>
          <w:color w:val="000000"/>
          <w:sz w:val="28"/>
        </w:rPr>
        <w:t>Công thức (1.1) mô tả chuỗi phát: vector thông tin u được mã hóa thành c, sau đó được xen kẽ bởi π và ánh xạ thành ký hiệu x bởi bộ điều chế μ.</w:t>
      </w:r>
    </w:p>
    <w:p>
      <w:pPr>
        <w:spacing w:before="120" w:after="120"/>
        <w:ind w:firstLine="0"/>
        <w:jc w:val="center"/>
      </w:pPr>
      <m:oMathPara>
        <m:oMath>
          <m:r>
            <m:t>R_c = k/n,     R_b = R_c log_2(M)</m:t>
          </m:r>
        </m:oMath>
      </m:oMathPara>
      <w:r>
        <w:rPr>
          <w:rFonts w:ascii="Times New Roman" w:hAnsi="Times New Roman" w:eastAsia="Times New Roman"/>
          <w:b w:val="0"/>
          <w:i w:val="0"/>
          <w:color w:val="000000"/>
          <w:sz w:val="28"/>
        </w:rPr>
        <w:t xml:space="preserve">        (1.2)</w:t>
      </w:r>
    </w:p>
    <w:p>
      <w:r>
        <w:rPr>
          <w:rFonts w:ascii="Times New Roman" w:hAnsi="Times New Roman" w:eastAsia="Times New Roman"/>
          <w:b w:val="0"/>
          <w:i w:val="0"/>
          <w:color w:val="000000"/>
          <w:sz w:val="28"/>
        </w:rPr>
        <w:t>Công thức (1.2) biểu diễn tốc độ mã và hiệu suất bit trên mỗi ký hiệu đối với điều chế M mức.</w:t>
      </w:r>
    </w:p>
    <w:p>
      <w:pPr>
        <w:spacing w:before="120" w:after="120"/>
        <w:ind w:firstLine="0"/>
        <w:jc w:val="center"/>
      </w:pPr>
      <m:oMathPara>
        <m:oMath>
          <m:r>
            <m:t>E_s/N_0 = (E_b/N_0) R_c log_2(M)</m:t>
          </m:r>
        </m:oMath>
      </m:oMathPara>
      <w:r>
        <w:rPr>
          <w:rFonts w:ascii="Times New Roman" w:hAnsi="Times New Roman" w:eastAsia="Times New Roman"/>
          <w:b w:val="0"/>
          <w:i w:val="0"/>
          <w:color w:val="000000"/>
          <w:sz w:val="28"/>
        </w:rPr>
        <w:t xml:space="preserve">        (1.3)</w:t>
      </w:r>
    </w:p>
    <w:p>
      <w:r>
        <w:rPr>
          <w:rFonts w:ascii="Times New Roman" w:hAnsi="Times New Roman" w:eastAsia="Times New Roman"/>
          <w:b w:val="0"/>
          <w:i w:val="0"/>
          <w:color w:val="000000"/>
          <w:sz w:val="28"/>
        </w:rPr>
        <w:t>Công thức (1.3) liên hệ giữa SNR theo năng lượng ký hiệu và SNR theo năng lượng bit.</w:t>
      </w:r>
    </w:p>
    <w:p>
      <w:pPr>
        <w:pStyle w:val="Heading2"/>
        <w:ind w:firstLine="0"/>
      </w:pPr>
      <w:r>
        <w:rPr>
          <w:rFonts w:ascii="Times New Roman" w:hAnsi="Times New Roman" w:eastAsia="Times New Roman"/>
          <w:b w:val="0"/>
          <w:i w:val="0"/>
          <w:color w:val="000000"/>
          <w:sz w:val="28"/>
        </w:rPr>
        <w:t>1.3. Thông tin mềm và độ tin cậy</w:t>
      </w:r>
    </w:p>
    <w:p>
      <w:pPr>
        <w:spacing w:before="120" w:after="120"/>
        <w:ind w:firstLine="0"/>
        <w:jc w:val="center"/>
      </w:pPr>
      <m:oMathPara>
        <m:oMath>
          <m:r>
            <m:t>L(b_k | y) = log [ P(b_k = 1 | y) / P(b_k = 0 | y) ]</m:t>
          </m:r>
        </m:oMath>
      </m:oMathPara>
      <w:r>
        <w:rPr>
          <w:rFonts w:ascii="Times New Roman" w:hAnsi="Times New Roman" w:eastAsia="Times New Roman"/>
          <w:b w:val="0"/>
          <w:i w:val="0"/>
          <w:color w:val="000000"/>
          <w:sz w:val="28"/>
        </w:rPr>
        <w:t xml:space="preserve">        (1.4)</w:t>
      </w:r>
    </w:p>
    <w:p>
      <w:r>
        <w:rPr>
          <w:rFonts w:ascii="Times New Roman" w:hAnsi="Times New Roman" w:eastAsia="Times New Roman"/>
          <w:b w:val="0"/>
          <w:i w:val="0"/>
          <w:color w:val="000000"/>
          <w:sz w:val="28"/>
        </w:rPr>
        <w:t>LLR trong công thức (1.4) biểu diễn độ tin cậy của bit b_k khi quan sát y. Dấu của LLR cho biết xu hướng quyết định, còn độ lớn cho biết mức tin cậy.</w:t>
      </w:r>
    </w:p>
    <w:p>
      <w:pPr>
        <w:spacing w:before="120" w:after="120"/>
        <w:ind w:firstLine="0"/>
        <w:jc w:val="center"/>
      </w:pPr>
      <m:oMathPara>
        <m:oMath>
          <m:r>
            <m:t>L_E = L_APP − L_A</m:t>
          </m:r>
        </m:oMath>
      </m:oMathPara>
      <w:r>
        <w:rPr>
          <w:rFonts w:ascii="Times New Roman" w:hAnsi="Times New Roman" w:eastAsia="Times New Roman"/>
          <w:b w:val="0"/>
          <w:i w:val="0"/>
          <w:color w:val="000000"/>
          <w:sz w:val="28"/>
        </w:rPr>
        <w:t xml:space="preserve">        (1.5)</w:t>
      </w:r>
    </w:p>
    <w:p>
      <w:r>
        <w:rPr>
          <w:rFonts w:ascii="Times New Roman" w:hAnsi="Times New Roman" w:eastAsia="Times New Roman"/>
          <w:b w:val="0"/>
          <w:i w:val="0"/>
          <w:color w:val="000000"/>
          <w:sz w:val="28"/>
        </w:rPr>
        <w:t>Công thức (1.5) thể hiện nguyên lý thông tin ngoại lai: khối xử lý cần truyền phần thông tin mới, không lặp lại nguyên vẹn thông tin tiên nghiệm.</w:t>
      </w:r>
    </w:p>
    <w:p>
      <w:pPr>
        <w:spacing w:before="120" w:after="120"/>
        <w:ind w:firstLine="0"/>
        <w:jc w:val="center"/>
      </w:pPr>
      <m:oMathPara>
        <m:oMath>
          <m:r>
            <m:t>L_D^{(t)} = D( L_C + Π^{-1}(L_M^{(t)}) )</m:t>
          </m:r>
        </m:oMath>
      </m:oMathPara>
      <w:r>
        <w:rPr>
          <w:rFonts w:ascii="Times New Roman" w:hAnsi="Times New Roman" w:eastAsia="Times New Roman"/>
          <w:b w:val="0"/>
          <w:i w:val="0"/>
          <w:color w:val="000000"/>
          <w:sz w:val="28"/>
        </w:rPr>
        <w:t xml:space="preserve">        (1.6)</w:t>
      </w:r>
    </w:p>
    <w:p>
      <w:pPr>
        <w:spacing w:before="120" w:after="120"/>
        <w:ind w:firstLine="0"/>
        <w:jc w:val="center"/>
      </w:pPr>
      <m:oMathPara>
        <m:oMath>
          <m:r>
            <m:t>L_M^{(t+1)} = M( y, Π(L_D^{(t)}) )</m:t>
          </m:r>
        </m:oMath>
      </m:oMathPara>
      <w:r>
        <w:rPr>
          <w:rFonts w:ascii="Times New Roman" w:hAnsi="Times New Roman" w:eastAsia="Times New Roman"/>
          <w:b w:val="0"/>
          <w:i w:val="0"/>
          <w:color w:val="000000"/>
          <w:sz w:val="28"/>
        </w:rPr>
        <w:t xml:space="preserve">        (1.7)</w:t>
      </w:r>
    </w:p>
    <w:p>
      <w:r>
        <w:rPr>
          <w:rFonts w:ascii="Times New Roman" w:hAnsi="Times New Roman" w:eastAsia="Times New Roman"/>
          <w:b w:val="0"/>
          <w:i w:val="0"/>
          <w:color w:val="000000"/>
          <w:sz w:val="28"/>
        </w:rPr>
        <w:t>Các công thức (1.6) và (1.7) mô tả chiều trao đổi thông tin giữa bộ giải mã và bộ giải điều chế trong vòng lặp thứ t.</w:t>
      </w:r>
    </w:p>
    <w:p>
      <w:pPr>
        <w:spacing w:before="120" w:after="120"/>
        <w:ind w:firstLine="0"/>
        <w:jc w:val="center"/>
      </w:pPr>
      <m:oMathPara>
        <m:oMath>
          <m:r>
            <m:t>BER = (1/N_b) Σ_{k=1}^{N_b} 1{ b̂_k ≠ b_k }</m:t>
          </m:r>
        </m:oMath>
      </m:oMathPara>
      <w:r>
        <w:rPr>
          <w:rFonts w:ascii="Times New Roman" w:hAnsi="Times New Roman" w:eastAsia="Times New Roman"/>
          <w:b w:val="0"/>
          <w:i w:val="0"/>
          <w:color w:val="000000"/>
          <w:sz w:val="28"/>
        </w:rPr>
        <w:t xml:space="preserve">        (1.8)</w:t>
      </w:r>
    </w:p>
    <w:p>
      <w:r>
        <w:rPr>
          <w:rFonts w:ascii="Times New Roman" w:hAnsi="Times New Roman" w:eastAsia="Times New Roman"/>
          <w:b w:val="0"/>
          <w:i w:val="0"/>
          <w:color w:val="000000"/>
          <w:sz w:val="28"/>
        </w:rPr>
        <w:t>Công thức (1.8) định nghĩa BER, thước đo hiệu năng chính được sử dụng khi phân tích các kết quả mô phỏng.</w:t>
      </w:r>
    </w:p>
    <w:p>
      <w:pPr>
        <w:pStyle w:val="Heading2"/>
        <w:ind w:firstLine="0"/>
      </w:pPr>
      <w:r>
        <w:rPr>
          <w:rFonts w:ascii="Times New Roman" w:hAnsi="Times New Roman" w:eastAsia="Times New Roman"/>
          <w:b w:val="0"/>
          <w:i w:val="0"/>
          <w:color w:val="000000"/>
          <w:sz w:val="28"/>
        </w:rPr>
        <w:t>1.4. Phạm vi nghiên cứu</w:t>
      </w:r>
    </w:p>
    <w:p>
      <w:pPr>
        <w:pStyle w:val="ListBullet"/>
        <w:spacing w:line="360" w:lineRule="auto"/>
        <w:ind w:firstLine="0" w:left="567"/>
      </w:pPr>
      <w:r>
        <w:rPr>
          <w:rFonts w:ascii="Times New Roman" w:hAnsi="Times New Roman" w:eastAsia="Times New Roman"/>
          <w:b w:val="0"/>
          <w:i w:val="0"/>
          <w:color w:val="000000"/>
          <w:sz w:val="28"/>
        </w:rPr>
        <w:t>Phân tích BIBCM-ID theo ba khối điều chế, mã kênh và xen kẽ.</w:t>
      </w:r>
    </w:p>
    <w:p>
      <w:pPr>
        <w:pStyle w:val="ListBullet"/>
        <w:spacing w:line="360" w:lineRule="auto"/>
        <w:ind w:firstLine="0" w:left="567"/>
      </w:pPr>
      <w:r>
        <w:rPr>
          <w:rFonts w:ascii="Times New Roman" w:hAnsi="Times New Roman" w:eastAsia="Times New Roman"/>
          <w:b w:val="0"/>
          <w:i w:val="0"/>
          <w:color w:val="000000"/>
          <w:sz w:val="28"/>
        </w:rPr>
        <w:t>Tập trung vào ANN hỗ trợ giải mã LDPC tại bước cập nhật nút kiểm tra.</w:t>
      </w:r>
    </w:p>
    <w:p>
      <w:pPr>
        <w:pStyle w:val="ListBullet"/>
        <w:spacing w:line="360" w:lineRule="auto"/>
        <w:ind w:firstLine="0" w:left="567"/>
      </w:pPr>
      <w:r>
        <w:rPr>
          <w:rFonts w:ascii="Times New Roman" w:hAnsi="Times New Roman" w:eastAsia="Times New Roman"/>
          <w:b w:val="0"/>
          <w:i w:val="0"/>
          <w:color w:val="000000"/>
          <w:sz w:val="28"/>
        </w:rPr>
        <w:t>Phân tích điều chế dựa trên Autoencoder trong kênh không lý tưởng.</w:t>
      </w:r>
    </w:p>
    <w:p>
      <w:pPr>
        <w:pStyle w:val="ListBullet"/>
        <w:spacing w:line="360" w:lineRule="auto"/>
        <w:ind w:firstLine="0" w:left="567"/>
      </w:pPr>
      <w:r>
        <w:rPr>
          <w:rFonts w:ascii="Times New Roman" w:hAnsi="Times New Roman" w:eastAsia="Times New Roman"/>
          <w:b w:val="0"/>
          <w:i w:val="0"/>
          <w:color w:val="000000"/>
          <w:sz w:val="28"/>
        </w:rPr>
        <w:t>Không tuyên bố đã tích hợp hai cải tiến vào một chuỗi BIBCM-ID hoàn chỉnh.</w:t>
      </w:r>
    </w:p>
    <w:p>
      <w:r>
        <w:rPr>
          <w:rFonts w:ascii="Times New Roman" w:hAnsi="Times New Roman" w:eastAsia="Times New Roman"/>
          <w:b w:val="0"/>
          <w:i w:val="0"/>
          <w:color w:val="000000"/>
          <w:sz w:val="28"/>
        </w:rPr>
        <w:t>Trong phân tích thiết kế BIBCM-ID và phạm vi luận văn,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thiết kế BIBCM-ID và phạm vi luận văn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thiết kế BIBCM-ID và phạm vi luận văn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thiết kế BIBCM-ID và phạm vi luận văn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thiết kế BIBCM-ID và phạm vi luận văn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thiết kế BIBCM-ID và phạm vi luận văn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thiết kế BIBCM-ID và phạm vi luận văn,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thiết kế BIBCM-ID và phạm vi luận văn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thiết kế BIBCM-ID và phạm vi luận văn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thiết kế BIBCM-ID và phạm vi luận văn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thiết kế BIBCM-ID và phạm vi luận văn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thiết kế BIBCM-ID và phạm vi luận văn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thiết kế BIBCM-ID và phạm vi luận văn,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thiết kế BIBCM-ID và phạm vi luận văn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thiết kế BIBCM-ID và phạm vi luận văn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thiết kế BIBCM-ID và phạm vi luận văn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thiết kế BIBCM-ID và phạm vi luận văn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thiết kế BIBCM-ID và phạm vi luận văn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thiết kế BIBCM-ID và phạm vi luận văn,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thiết kế BIBCM-ID và phạm vi luận văn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thiết kế BIBCM-ID và phạm vi luận văn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thiết kế BIBCM-ID và phạm vi luận văn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thiết kế BIBCM-ID và phạm vi luận văn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thiết kế BIBCM-ID và phạm vi luận văn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thiết kế BIBCM-ID và phạm vi luận văn,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thiết kế BIBCM-ID và phạm vi luận văn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thiết kế BIBCM-ID và phạm vi luận văn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thiết kế BIBCM-ID và phạm vi luận văn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thiết kế BIBCM-ID và phạm vi luận văn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thiết kế BIBCM-ID và phạm vi luận văn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thiết kế BIBCM-ID và phạm vi luận văn,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thiết kế BIBCM-ID và phạm vi luận văn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pPr>
        <w:pStyle w:val="Heading2"/>
        <w:ind w:firstLine="0"/>
      </w:pPr>
      <w:r>
        <w:rPr>
          <w:rFonts w:ascii="Times New Roman" w:hAnsi="Times New Roman" w:eastAsia="Times New Roman"/>
          <w:b w:val="0"/>
          <w:i w:val="0"/>
          <w:color w:val="000000"/>
          <w:sz w:val="28"/>
        </w:rPr>
        <w:t>1.5. Kết luận chương</w:t>
      </w:r>
    </w:p>
    <w:p>
      <w:r>
        <w:rPr>
          <w:rFonts w:ascii="Times New Roman" w:hAnsi="Times New Roman" w:eastAsia="Times New Roman"/>
          <w:b w:val="0"/>
          <w:i w:val="0"/>
          <w:color w:val="000000"/>
          <w:sz w:val="28"/>
        </w:rPr>
        <w:t>Chương này đã xác định phạm vi nghiên cứu: giữ bộ xen kẽ như một thành phần cấu trúc của BIBCM-ID, đồng thời phân tích sâu hai hướng ứng dụng học sâu trong điều chế và giải mã kênh.</w:t>
      </w:r>
    </w:p>
    <w:p>
      <w:r>
        <w:br w:type="page"/>
      </w:r>
    </w:p>
    <w:p>
      <w:pPr>
        <w:pStyle w:val="Heading1"/>
        <w:ind w:firstLine="0"/>
      </w:pPr>
      <w:r>
        <w:rPr>
          <w:rFonts w:ascii="Times New Roman" w:hAnsi="Times New Roman" w:eastAsia="Times New Roman"/>
          <w:b w:val="0"/>
          <w:i w:val="0"/>
          <w:color w:val="000000"/>
          <w:sz w:val="28"/>
        </w:rPr>
        <w:t>CHƯƠNG 2. GIẢI MÃ LDPC CÓ HỖ TRỢ ANN</w:t>
      </w:r>
    </w:p>
    <w:p>
      <w:pPr>
        <w:pStyle w:val="Heading2"/>
        <w:ind w:firstLine="0"/>
      </w:pPr>
      <w:r>
        <w:rPr>
          <w:rFonts w:ascii="Times New Roman" w:hAnsi="Times New Roman" w:eastAsia="Times New Roman"/>
          <w:b w:val="0"/>
          <w:i w:val="0"/>
          <w:color w:val="000000"/>
          <w:sz w:val="28"/>
        </w:rPr>
        <w:t>2.1. Giải mã LDPC và thuật toán SPA</w:t>
      </w:r>
    </w:p>
    <w:p>
      <w:r>
        <w:rPr>
          <w:rFonts w:ascii="Times New Roman" w:hAnsi="Times New Roman" w:eastAsia="Times New Roman"/>
          <w:b w:val="0"/>
          <w:i w:val="0"/>
          <w:color w:val="000000"/>
          <w:sz w:val="28"/>
        </w:rPr>
        <w:t>Mã LDPC được biểu diễn bởi ma trận kiểm tra chẵn lẻ thưa H và đồ thị Tanner gồm nút biến VN và nút kiểm tra CN. Quá trình giải mã lặp trao đổi bản tin giữa hai loại nút này để tìm từ mã thỏa mãn các ràng buộc chẵn lẻ.</w:t>
      </w:r>
    </w:p>
    <w:p>
      <w:r>
        <w:rPr>
          <w:rFonts w:ascii="Times New Roman" w:hAnsi="Times New Roman" w:eastAsia="Times New Roman"/>
          <w:b w:val="0"/>
          <w:i w:val="0"/>
          <w:color w:val="000000"/>
          <w:sz w:val="28"/>
        </w:rPr>
        <w:t>Thuật toán Sum-Product trong miền LLR cho hiệu năng tốt nhưng bước cập nhật CN sử dụng các hàm phi tuyến như tanh và tanh nghịch đảo. Đây là phần có chi phí cao khi triển khai trên FPGA hoặc ASIC. Các thuật toán Min-Sum đơn giản hơn nhưng thường đánh đổi bằng suy giảm BER.</w:t>
      </w:r>
    </w:p>
    <w:p>
      <w:pPr>
        <w:spacing w:before="120" w:after="120"/>
        <w:ind w:firstLine="0"/>
        <w:jc w:val="center"/>
      </w:pPr>
      <m:oMathPara>
        <m:oMath>
          <m:r>
            <m:t>H c^T = 0</m:t>
          </m:r>
        </m:oMath>
      </m:oMathPara>
      <w:r>
        <w:rPr>
          <w:rFonts w:ascii="Times New Roman" w:hAnsi="Times New Roman" w:eastAsia="Times New Roman"/>
          <w:b w:val="0"/>
          <w:i w:val="0"/>
          <w:color w:val="000000"/>
          <w:sz w:val="28"/>
        </w:rPr>
        <w:t xml:space="preserve">        (2.1)</w:t>
      </w:r>
    </w:p>
    <w:p>
      <w:pPr>
        <w:spacing w:before="120" w:after="120"/>
        <w:ind w:firstLine="0"/>
        <w:jc w:val="center"/>
      </w:pPr>
      <m:oMathPara>
        <m:oMath>
          <m:r>
            <m:t>L_j = log [ P(y_j | c_j = 1) / P(y_j | c_j = 0) ]</m:t>
          </m:r>
        </m:oMath>
      </m:oMathPara>
      <w:r>
        <w:rPr>
          <w:rFonts w:ascii="Times New Roman" w:hAnsi="Times New Roman" w:eastAsia="Times New Roman"/>
          <w:b w:val="0"/>
          <w:i w:val="0"/>
          <w:color w:val="000000"/>
          <w:sz w:val="28"/>
        </w:rPr>
        <w:t xml:space="preserve">        (2.2)</w:t>
      </w:r>
    </w:p>
    <w:p>
      <w:pPr>
        <w:spacing w:before="120" w:after="120"/>
        <w:ind w:firstLine="0"/>
        <w:jc w:val="center"/>
      </w:pPr>
      <m:oMathPara>
        <m:oMath>
          <m:r>
            <m:t>q_{j→i} = L_j + Σ_{i'∈C(j)\i} r_{i'→j}</m:t>
          </m:r>
        </m:oMath>
      </m:oMathPara>
      <w:r>
        <w:rPr>
          <w:rFonts w:ascii="Times New Roman" w:hAnsi="Times New Roman" w:eastAsia="Times New Roman"/>
          <w:b w:val="0"/>
          <w:i w:val="0"/>
          <w:color w:val="000000"/>
          <w:sz w:val="28"/>
        </w:rPr>
        <w:t xml:space="preserve">        (2.3)</w:t>
      </w:r>
    </w:p>
    <w:p>
      <w:pPr>
        <w:spacing w:before="120" w:after="120"/>
        <w:ind w:firstLine="0"/>
        <w:jc w:val="center"/>
      </w:pPr>
      <m:oMathPara>
        <m:oMath>
          <m:r>
            <m:t>r_{i→j} = 2 tanh^{-1} ∏_{j'∈V(i)\j} tanh(q_{j'→i}/2)</m:t>
          </m:r>
        </m:oMath>
      </m:oMathPara>
      <w:r>
        <w:rPr>
          <w:rFonts w:ascii="Times New Roman" w:hAnsi="Times New Roman" w:eastAsia="Times New Roman"/>
          <w:b w:val="0"/>
          <w:i w:val="0"/>
          <w:color w:val="000000"/>
          <w:sz w:val="28"/>
        </w:rPr>
        <w:t xml:space="preserve">        (2.4)</w:t>
      </w:r>
    </w:p>
    <w:p>
      <w:pPr>
        <w:spacing w:before="120" w:after="120"/>
        <w:ind w:firstLine="0"/>
        <w:jc w:val="center"/>
      </w:pPr>
      <m:oMathPara>
        <m:oMath>
          <m:r>
            <m:t>r_{i→j}^{MS} = ∏ sign(q_{j'→i}) · min |q_{j'→i}|</m:t>
          </m:r>
        </m:oMath>
      </m:oMathPara>
      <w:r>
        <w:rPr>
          <w:rFonts w:ascii="Times New Roman" w:hAnsi="Times New Roman" w:eastAsia="Times New Roman"/>
          <w:b w:val="0"/>
          <w:i w:val="0"/>
          <w:color w:val="000000"/>
          <w:sz w:val="28"/>
        </w:rPr>
        <w:t xml:space="preserve">        (2.5)</w:t>
      </w:r>
    </w:p>
    <w:p>
      <w:pPr>
        <w:spacing w:before="120" w:after="120"/>
        <w:ind w:firstLine="0"/>
        <w:jc w:val="center"/>
      </w:pPr>
      <m:oMathPara>
        <m:oMath>
          <m:r>
            <m:t>r_{i→j}^{NMS} = α r_{i→j}^{MS},     0 &lt; α ≤ 1</m:t>
          </m:r>
        </m:oMath>
      </m:oMathPara>
      <w:r>
        <w:rPr>
          <w:rFonts w:ascii="Times New Roman" w:hAnsi="Times New Roman" w:eastAsia="Times New Roman"/>
          <w:b w:val="0"/>
          <w:i w:val="0"/>
          <w:color w:val="000000"/>
          <w:sz w:val="28"/>
        </w:rPr>
        <w:t xml:space="preserve">        (2.6)</w:t>
      </w:r>
    </w:p>
    <w:p>
      <w:pPr>
        <w:spacing w:before="120" w:after="120"/>
        <w:ind w:firstLine="0"/>
        <w:jc w:val="center"/>
      </w:pPr>
      <m:oMathPara>
        <m:oMath>
          <m:r>
            <m:t>r_{i→j}^{OMS} = sign(r_{i→j}^{MS}) max(|r_{i→j}^{MS}| − β, 0)</m:t>
          </m:r>
        </m:oMath>
      </m:oMathPara>
      <w:r>
        <w:rPr>
          <w:rFonts w:ascii="Times New Roman" w:hAnsi="Times New Roman" w:eastAsia="Times New Roman"/>
          <w:b w:val="0"/>
          <w:i w:val="0"/>
          <w:color w:val="000000"/>
          <w:sz w:val="28"/>
        </w:rPr>
        <w:t xml:space="preserve">        (2.7)</w:t>
      </w:r>
    </w:p>
    <w:p>
      <w:pPr>
        <w:spacing w:before="120" w:after="120"/>
        <w:ind w:firstLine="0"/>
        <w:jc w:val="center"/>
      </w:pPr>
      <m:oMathPara>
        <m:oMath>
          <m:r>
            <m:t>L_j^{APP} = L_j + Σ_{i∈C(j)} r_{i→j}</m:t>
          </m:r>
        </m:oMath>
      </m:oMathPara>
      <w:r>
        <w:rPr>
          <w:rFonts w:ascii="Times New Roman" w:hAnsi="Times New Roman" w:eastAsia="Times New Roman"/>
          <w:b w:val="0"/>
          <w:i w:val="0"/>
          <w:color w:val="000000"/>
          <w:sz w:val="28"/>
        </w:rPr>
        <w:t xml:space="preserve">        (2.8)</w:t>
      </w:r>
    </w:p>
    <w:p>
      <w:pPr>
        <w:spacing w:before="120" w:after="120"/>
        <w:ind w:firstLine="0"/>
        <w:jc w:val="center"/>
      </w:pPr>
      <m:oMathPara>
        <m:oMath>
          <m:r>
            <m:t>ĉ_j = 1 if L_j^{APP} ≥ 0, otherwise ĉ_j = 0</m:t>
          </m:r>
        </m:oMath>
      </m:oMathPara>
      <w:r>
        <w:rPr>
          <w:rFonts w:ascii="Times New Roman" w:hAnsi="Times New Roman" w:eastAsia="Times New Roman"/>
          <w:b w:val="0"/>
          <w:i w:val="0"/>
          <w:color w:val="000000"/>
          <w:sz w:val="28"/>
        </w:rPr>
        <w:t xml:space="preserve">        (2.9)</w:t>
      </w:r>
    </w:p>
    <w:p>
      <w:pPr>
        <w:spacing w:before="120" w:after="120"/>
        <w:ind w:firstLine="0"/>
        <w:jc w:val="center"/>
      </w:pPr>
      <m:oMathPara>
        <m:oMath>
          <m:r>
            <m:t>s = H ĉ^T</m:t>
          </m:r>
        </m:oMath>
      </m:oMathPara>
      <w:r>
        <w:rPr>
          <w:rFonts w:ascii="Times New Roman" w:hAnsi="Times New Roman" w:eastAsia="Times New Roman"/>
          <w:b w:val="0"/>
          <w:i w:val="0"/>
          <w:color w:val="000000"/>
          <w:sz w:val="28"/>
        </w:rPr>
        <w:t xml:space="preserve">        (2.10)</w:t>
      </w:r>
    </w:p>
    <w:p>
      <w:r>
        <w:rPr>
          <w:rFonts w:ascii="Times New Roman" w:hAnsi="Times New Roman" w:eastAsia="Times New Roman"/>
          <w:b w:val="0"/>
          <w:i w:val="0"/>
          <w:color w:val="000000"/>
          <w:sz w:val="28"/>
        </w:rPr>
        <w:t>Các công thức (2.1)-(2.10) tóm tắt cơ sở toán học của giải mã LDPC trong miền LLR, từ điều kiện từ mã hợp lệ đến cập nhật VN, cập nhật CN và kiểm tra hội chứng.</w:t>
      </w:r>
    </w:p>
    <w:p>
      <w:pPr>
        <w:pStyle w:val="Heading2"/>
        <w:ind w:firstLine="0"/>
      </w:pPr>
      <w:r>
        <w:rPr>
          <w:rFonts w:ascii="Times New Roman" w:hAnsi="Times New Roman" w:eastAsia="Times New Roman"/>
          <w:b w:val="0"/>
          <w:i w:val="0"/>
          <w:color w:val="000000"/>
          <w:sz w:val="28"/>
        </w:rPr>
        <w:t>2.2. Mô hình ANN xấp xỉ cập nhật CN</w:t>
      </w:r>
    </w:p>
    <w:p>
      <w:r>
        <w:rPr>
          <w:rFonts w:ascii="Times New Roman" w:hAnsi="Times New Roman" w:eastAsia="Times New Roman"/>
          <w:b w:val="0"/>
          <w:i w:val="0"/>
          <w:color w:val="000000"/>
          <w:sz w:val="28"/>
        </w:rPr>
        <w:t>Bài báo trong Publication 1 đề xuất dùng MLP nhỏ để xấp xỉ bản tin cập nhật CN. Đầu vào của mạng là các bản tin đến từ VN, đầu ra là bản tin CN gửi tới VN. Cấu trúc nhỏ giúp mô hình phù hợp hơn với mục tiêu triển khai phần cứng so với các bộ giải mã nơ-ron lớn.</w:t>
      </w:r>
    </w:p>
    <w:p>
      <w:pPr>
        <w:ind w:firstLine="0"/>
        <w:jc w:val="center"/>
      </w:pPr>
      <w:r>
        <w:drawing>
          <wp:inline xmlns:a="http://schemas.openxmlformats.org/drawingml/2006/main" xmlns:pic="http://schemas.openxmlformats.org/drawingml/2006/picture">
            <wp:extent cx="3960000" cy="3522028"/>
            <wp:docPr id="1" name="Picture 1"/>
            <wp:cNvGraphicFramePr>
              <a:graphicFrameLocks noChangeAspect="1"/>
            </wp:cNvGraphicFramePr>
            <a:graphic>
              <a:graphicData uri="http://schemas.openxmlformats.org/drawingml/2006/picture">
                <pic:pic>
                  <pic:nvPicPr>
                    <pic:cNvPr id="0" name="pub1_fig_1.png"/>
                    <pic:cNvPicPr/>
                  </pic:nvPicPr>
                  <pic:blipFill>
                    <a:blip r:embed="rId10"/>
                    <a:stretch>
                      <a:fillRect/>
                    </a:stretch>
                  </pic:blipFill>
                  <pic:spPr>
                    <a:xfrm>
                      <a:off x="0" y="0"/>
                      <a:ext cx="3960000" cy="3522028"/>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2.1. Cấu trúc MLP dùng cho cập nhật nút kiểm tra.</w:t>
      </w:r>
    </w:p>
    <w:p>
      <w:pPr>
        <w:spacing w:before="120" w:after="120"/>
        <w:ind w:firstLine="0"/>
        <w:jc w:val="center"/>
      </w:pPr>
      <m:oMathPara>
        <m:oMath>
          <m:r>
            <m:t>h = ReLU(W_1 q + b_1),   r̂ = W_2 h + b_2</m:t>
          </m:r>
        </m:oMath>
      </m:oMathPara>
      <w:r>
        <w:rPr>
          <w:rFonts w:ascii="Times New Roman" w:hAnsi="Times New Roman" w:eastAsia="Times New Roman"/>
          <w:b w:val="0"/>
          <w:i w:val="0"/>
          <w:color w:val="000000"/>
          <w:sz w:val="28"/>
        </w:rPr>
        <w:t xml:space="preserve">        (2.11)</w:t>
      </w:r>
    </w:p>
    <w:p>
      <w:pPr>
        <w:spacing w:before="120" w:after="120"/>
        <w:ind w:firstLine="0"/>
        <w:jc w:val="center"/>
      </w:pPr>
      <m:oMathPara>
        <m:oMath>
          <m:r>
            <m:t>ReLU(z) = max(z, 0)</m:t>
          </m:r>
        </m:oMath>
      </m:oMathPara>
      <w:r>
        <w:rPr>
          <w:rFonts w:ascii="Times New Roman" w:hAnsi="Times New Roman" w:eastAsia="Times New Roman"/>
          <w:b w:val="0"/>
          <w:i w:val="0"/>
          <w:color w:val="000000"/>
          <w:sz w:val="28"/>
        </w:rPr>
        <w:t xml:space="preserve">        (2.12)</w:t>
      </w:r>
    </w:p>
    <w:p>
      <w:pPr>
        <w:spacing w:before="120" w:after="120"/>
        <w:ind w:firstLine="0"/>
        <w:jc w:val="center"/>
      </w:pPr>
      <m:oMathPara>
        <m:oMath>
          <m:r>
            <m:t>N_param = d_in d_h + d_h + d_h d_out + d_out</m:t>
          </m:r>
        </m:oMath>
      </m:oMathPara>
      <w:r>
        <w:rPr>
          <w:rFonts w:ascii="Times New Roman" w:hAnsi="Times New Roman" w:eastAsia="Times New Roman"/>
          <w:b w:val="0"/>
          <w:i w:val="0"/>
          <w:color w:val="000000"/>
          <w:sz w:val="28"/>
        </w:rPr>
        <w:t xml:space="preserve">        (2.13)</w:t>
      </w:r>
    </w:p>
    <w:p>
      <w:r>
        <w:rPr>
          <w:rFonts w:ascii="Times New Roman" w:hAnsi="Times New Roman" w:eastAsia="Times New Roman"/>
          <w:b w:val="0"/>
          <w:i w:val="0"/>
          <w:color w:val="000000"/>
          <w:sz w:val="28"/>
        </w:rPr>
        <w:t>Các công thức (2.11)-(2.13) mô tả ánh xạ MLP một lớp ẩn và số tham số huấn luyện. ReLU có ưu điểm là đơn giản khi hiện thực số.</w:t>
      </w:r>
    </w:p>
    <w:p>
      <w:pPr>
        <w:pStyle w:val="Heading2"/>
        <w:ind w:firstLine="0"/>
      </w:pPr>
      <w:r>
        <w:rPr>
          <w:rFonts w:ascii="Times New Roman" w:hAnsi="Times New Roman" w:eastAsia="Times New Roman"/>
          <w:b w:val="0"/>
          <w:i w:val="0"/>
          <w:color w:val="000000"/>
          <w:sz w:val="28"/>
        </w:rPr>
        <w:t>2.3. Huấn luyện và xây dựng nhãn</w:t>
      </w:r>
    </w:p>
    <w:p>
      <w:r>
        <w:rPr>
          <w:rFonts w:ascii="Times New Roman" w:hAnsi="Times New Roman" w:eastAsia="Times New Roman"/>
          <w:b w:val="0"/>
          <w:i w:val="0"/>
          <w:color w:val="000000"/>
          <w:sz w:val="28"/>
        </w:rPr>
        <w:t>Dữ liệu huấn luyện được sinh từ kênh AWGN với điều chế BPSK và mã QC-LDPC có n = 664, k = 332, R = 0,5. Hai kịch bản nhãn được xem xét: xấp xỉ SPA gốc và nhãn tăng cường nhằm giảm biên độ bản tin thiếu tin cậy.</w:t>
      </w:r>
    </w:p>
    <w:p>
      <w:pPr>
        <w:spacing w:before="120" w:after="120"/>
        <w:ind w:firstLine="0"/>
        <w:jc w:val="center"/>
      </w:pPr>
      <m:oMathPara>
        <m:oMath>
          <m:r>
            <m:t>L_MAE = (1/N) Σ_{n=1}^{N} | r_n − r̂_n |</m:t>
          </m:r>
        </m:oMath>
      </m:oMathPara>
      <w:r>
        <w:rPr>
          <w:rFonts w:ascii="Times New Roman" w:hAnsi="Times New Roman" w:eastAsia="Times New Roman"/>
          <w:b w:val="0"/>
          <w:i w:val="0"/>
          <w:color w:val="000000"/>
          <w:sz w:val="28"/>
        </w:rPr>
        <w:t xml:space="preserve">        (2.14)</w:t>
      </w:r>
    </w:p>
    <w:p>
      <w:pPr>
        <w:spacing w:before="120" w:after="120"/>
        <w:ind w:firstLine="0"/>
        <w:jc w:val="center"/>
      </w:pPr>
      <m:oMathPara>
        <m:oMath>
          <m:r>
            <m:t>r_label = r_SPA,     or     r_label = r_SPA / 2 if sign(r_SPA) is unreliable</m:t>
          </m:r>
        </m:oMath>
      </m:oMathPara>
      <w:r>
        <w:rPr>
          <w:rFonts w:ascii="Times New Roman" w:hAnsi="Times New Roman" w:eastAsia="Times New Roman"/>
          <w:b w:val="0"/>
          <w:i w:val="0"/>
          <w:color w:val="000000"/>
          <w:sz w:val="28"/>
        </w:rPr>
        <w:t xml:space="preserve">        (2.15)</w:t>
      </w:r>
    </w:p>
    <w:p>
      <w:pPr>
        <w:spacing w:before="120" w:after="120"/>
        <w:ind w:firstLine="0"/>
        <w:jc w:val="center"/>
      </w:pPr>
      <m:oMathPara>
        <m:oMath>
          <m:r>
            <m:t>θ* = arg min_θ E[ | r_label − f_θ(q) | ]</m:t>
          </m:r>
        </m:oMath>
      </m:oMathPara>
      <w:r>
        <w:rPr>
          <w:rFonts w:ascii="Times New Roman" w:hAnsi="Times New Roman" w:eastAsia="Times New Roman"/>
          <w:b w:val="0"/>
          <w:i w:val="0"/>
          <w:color w:val="000000"/>
          <w:sz w:val="28"/>
        </w:rPr>
        <w:t xml:space="preserve">        (2.16)</w:t>
      </w:r>
    </w:p>
    <w:p>
      <w:pPr>
        <w:spacing w:before="120" w:after="120"/>
        <w:ind w:firstLine="0"/>
        <w:jc w:val="center"/>
      </w:pPr>
      <m:oMathPara>
        <m:oMath>
          <m:r>
            <m:t>q^{(l+1)} = q^{(l)} − η ∇_θ L(θ)</m:t>
          </m:r>
        </m:oMath>
      </m:oMathPara>
      <w:r>
        <w:rPr>
          <w:rFonts w:ascii="Times New Roman" w:hAnsi="Times New Roman" w:eastAsia="Times New Roman"/>
          <w:b w:val="0"/>
          <w:i w:val="0"/>
          <w:color w:val="000000"/>
          <w:sz w:val="28"/>
        </w:rPr>
        <w:t xml:space="preserve">        (2.17)</w:t>
      </w:r>
    </w:p>
    <w:p>
      <w:pPr>
        <w:spacing w:before="120" w:after="120"/>
        <w:ind w:firstLine="0"/>
        <w:jc w:val="center"/>
      </w:pPr>
      <m:oMathPara>
        <m:oMath>
          <m:r>
            <m:t>γ = E_b/N_0</m:t>
          </m:r>
        </m:oMath>
      </m:oMathPara>
      <w:r>
        <w:rPr>
          <w:rFonts w:ascii="Times New Roman" w:hAnsi="Times New Roman" w:eastAsia="Times New Roman"/>
          <w:b w:val="0"/>
          <w:i w:val="0"/>
          <w:color w:val="000000"/>
          <w:sz w:val="28"/>
        </w:rPr>
        <w:t xml:space="preserve">        (2.18)</w:t>
      </w:r>
    </w:p>
    <w:p>
      <w:r>
        <w:rPr>
          <w:rFonts w:ascii="Times New Roman" w:hAnsi="Times New Roman" w:eastAsia="Times New Roman"/>
          <w:b w:val="0"/>
          <w:i w:val="0"/>
          <w:color w:val="000000"/>
          <w:sz w:val="28"/>
        </w:rPr>
        <w:t>Các công thức (2.14)-(2.18) mô tả hàm mất mát, chiến lược nhãn và nguyên lý tối ưu hóa mô hình ANN.</w:t>
      </w:r>
    </w:p>
    <w:p>
      <w:pPr>
        <w:ind w:firstLine="0"/>
        <w:jc w:val="center"/>
      </w:pPr>
      <w:r>
        <w:drawing>
          <wp:inline xmlns:a="http://schemas.openxmlformats.org/drawingml/2006/main" xmlns:pic="http://schemas.openxmlformats.org/drawingml/2006/picture">
            <wp:extent cx="3960000" cy="2188421"/>
            <wp:docPr id="2" name="Picture 2"/>
            <wp:cNvGraphicFramePr>
              <a:graphicFrameLocks noChangeAspect="1"/>
            </wp:cNvGraphicFramePr>
            <a:graphic>
              <a:graphicData uri="http://schemas.openxmlformats.org/drawingml/2006/picture">
                <pic:pic>
                  <pic:nvPicPr>
                    <pic:cNvPr id="0" name="pub1_fig_24.png"/>
                    <pic:cNvPicPr/>
                  </pic:nvPicPr>
                  <pic:blipFill>
                    <a:blip r:embed="rId11"/>
                    <a:stretch>
                      <a:fillRect/>
                    </a:stretch>
                  </pic:blipFill>
                  <pic:spPr>
                    <a:xfrm>
                      <a:off x="0" y="0"/>
                      <a:ext cx="3960000" cy="2188421"/>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2.2. Đường cong huấn luyện của mô hình ANN.</w:t>
      </w:r>
    </w:p>
    <w:p>
      <w:pPr>
        <w:pStyle w:val="Heading2"/>
        <w:ind w:firstLine="0"/>
      </w:pPr>
      <w:r>
        <w:rPr>
          <w:rFonts w:ascii="Times New Roman" w:hAnsi="Times New Roman" w:eastAsia="Times New Roman"/>
          <w:b w:val="0"/>
          <w:i w:val="0"/>
          <w:color w:val="000000"/>
          <w:sz w:val="28"/>
        </w:rPr>
        <w:t>2.4. Phân tích kết quả và độ phức tạp</w:t>
      </w:r>
    </w:p>
    <w:p>
      <w:r>
        <w:rPr>
          <w:rFonts w:ascii="Times New Roman" w:hAnsi="Times New Roman" w:eastAsia="Times New Roman"/>
          <w:b w:val="0"/>
          <w:i w:val="0"/>
          <w:color w:val="000000"/>
          <w:sz w:val="28"/>
        </w:rPr>
        <w:t>Kết quả trong bài báo cho thấy mô hình ANN xấp xỉ SPA có BER tương đương SPA và tốt hơn Min-Sum trong kịch bản khảo sát. Với nhãn tăng cường, mô hình có thể đạt lợi khoảng 0,2-0,4 dB so với SPA trong điều kiện được báo cáo. Kết quả này cần được hiểu trong phạm vi mã, kênh và dữ liệu huấn luyện đã sử dụng.</w:t>
      </w:r>
    </w:p>
    <w:p>
      <w:pPr>
        <w:ind w:firstLine="0"/>
        <w:jc w:val="center"/>
      </w:pPr>
      <w:r>
        <w:drawing>
          <wp:inline xmlns:a="http://schemas.openxmlformats.org/drawingml/2006/main" xmlns:pic="http://schemas.openxmlformats.org/drawingml/2006/picture">
            <wp:extent cx="3960000" cy="3122704"/>
            <wp:docPr id="3" name="Picture 3"/>
            <wp:cNvGraphicFramePr>
              <a:graphicFrameLocks noChangeAspect="1"/>
            </wp:cNvGraphicFramePr>
            <a:graphic>
              <a:graphicData uri="http://schemas.openxmlformats.org/drawingml/2006/picture">
                <pic:pic>
                  <pic:nvPicPr>
                    <pic:cNvPr id="0" name="pub1_fig_25.png"/>
                    <pic:cNvPicPr/>
                  </pic:nvPicPr>
                  <pic:blipFill>
                    <a:blip r:embed="rId12"/>
                    <a:stretch>
                      <a:fillRect/>
                    </a:stretch>
                  </pic:blipFill>
                  <pic:spPr>
                    <a:xfrm>
                      <a:off x="0" y="0"/>
                      <a:ext cx="3960000" cy="312270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2.3. BER khi ANN xấp xỉ SPA.</w:t>
      </w:r>
    </w:p>
    <w:p>
      <w:pPr>
        <w:ind w:firstLine="0"/>
        <w:jc w:val="center"/>
      </w:pPr>
      <w:r>
        <w:drawing>
          <wp:inline xmlns:a="http://schemas.openxmlformats.org/drawingml/2006/main" xmlns:pic="http://schemas.openxmlformats.org/drawingml/2006/picture">
            <wp:extent cx="3960000" cy="3550181"/>
            <wp:docPr id="4" name="Picture 4"/>
            <wp:cNvGraphicFramePr>
              <a:graphicFrameLocks noChangeAspect="1"/>
            </wp:cNvGraphicFramePr>
            <a:graphic>
              <a:graphicData uri="http://schemas.openxmlformats.org/drawingml/2006/picture">
                <pic:pic>
                  <pic:nvPicPr>
                    <pic:cNvPr id="0" name="pub1_fig_26.png"/>
                    <pic:cNvPicPr/>
                  </pic:nvPicPr>
                  <pic:blipFill>
                    <a:blip r:embed="rId13"/>
                    <a:stretch>
                      <a:fillRect/>
                    </a:stretch>
                  </pic:blipFill>
                  <pic:spPr>
                    <a:xfrm>
                      <a:off x="0" y="0"/>
                      <a:ext cx="3960000" cy="3550181"/>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2.4. BER với chiến lược nhãn tăng cường.</w:t>
      </w:r>
    </w:p>
    <w:p>
      <w:r>
        <w:rPr>
          <w:rFonts w:ascii="Times New Roman" w:hAnsi="Times New Roman" w:eastAsia="Times New Roman"/>
          <w:b w:val="0"/>
          <w:i w:val="0"/>
          <w:color w:val="000000"/>
          <w:sz w:val="28"/>
        </w:rPr>
        <w:t>Trong phân tích ANN hỗ trợ giải mã LDPC,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ANN hỗ trợ giải mã LDPC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ANN hỗ trợ giải mã LDPC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ANN hỗ trợ giải mã LDPC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ANN hỗ trợ giải mã LDPC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ANN hỗ trợ giải mã LDPC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ANN hỗ trợ giải mã LDPC,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ANN hỗ trợ giải mã LDPC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ANN hỗ trợ giải mã LDPC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ANN hỗ trợ giải mã LDPC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ANN hỗ trợ giải mã LDPC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ANN hỗ trợ giải mã LDPC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ANN hỗ trợ giải mã LDPC,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ANN hỗ trợ giải mã LDPC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ANN hỗ trợ giải mã LDPC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ANN hỗ trợ giải mã LDPC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ANN hỗ trợ giải mã LDPC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ANN hỗ trợ giải mã LDPC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ANN hỗ trợ giải mã LDPC,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ANN hỗ trợ giải mã LDPC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ANN hỗ trợ giải mã LDPC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ANN hỗ trợ giải mã LDPC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ANN hỗ trợ giải mã LDPC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ANN hỗ trợ giải mã LDPC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ANN hỗ trợ giải mã LDPC,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ANN hỗ trợ giải mã LDPC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ANN hỗ trợ giải mã LDPC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ANN hỗ trợ giải mã LDPC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ANN hỗ trợ giải mã LDPC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ANN hỗ trợ giải mã LDPC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ANN hỗ trợ giải mã LDPC,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ANN hỗ trợ giải mã LDPC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ANN hỗ trợ giải mã LDPC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ANN hỗ trợ giải mã LDPC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ANN hỗ trợ giải mã LDPC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ANN hỗ trợ giải mã LDPC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ANN hỗ trợ giải mã LDPC,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ANN hỗ trợ giải mã LDPC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ANN hỗ trợ giải mã LDPC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ANN hỗ trợ giải mã LDPC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ANN hỗ trợ giải mã LDPC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ANN hỗ trợ giải mã LDPC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ANN hỗ trợ giải mã LDPC,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ANN hỗ trợ giải mã LDPC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ANN hỗ trợ giải mã LDPC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pPr>
        <w:pStyle w:val="Heading2"/>
        <w:ind w:firstLine="0"/>
      </w:pPr>
      <w:r>
        <w:rPr>
          <w:rFonts w:ascii="Times New Roman" w:hAnsi="Times New Roman" w:eastAsia="Times New Roman"/>
          <w:b w:val="0"/>
          <w:i w:val="0"/>
          <w:color w:val="000000"/>
          <w:sz w:val="28"/>
        </w:rPr>
        <w:t>2.5. Kết luận chương</w:t>
      </w:r>
    </w:p>
    <w:p>
      <w:r>
        <w:rPr>
          <w:rFonts w:ascii="Times New Roman" w:hAnsi="Times New Roman" w:eastAsia="Times New Roman"/>
          <w:b w:val="0"/>
          <w:i w:val="0"/>
          <w:color w:val="000000"/>
          <w:sz w:val="28"/>
        </w:rPr>
        <w:t>Chương này đã trình bày cơ sở toán học của giải mã LDPC và phân tích phương pháp dùng ANN để xấp xỉ hoặc hiệu chỉnh cập nhật CN. Hướng tiếp cận này có ý nghĩa vì giữ cấu trúc giải mã LDPC nhưng thay thế một phép toán phi tuyến phức tạp bằng mô hình học có kích thước nhỏ.</w:t>
      </w:r>
    </w:p>
    <w:p>
      <w:r>
        <w:br w:type="page"/>
      </w:r>
    </w:p>
    <w:p>
      <w:pPr>
        <w:pStyle w:val="Heading1"/>
        <w:ind w:firstLine="0"/>
      </w:pPr>
      <w:r>
        <w:rPr>
          <w:rFonts w:ascii="Times New Roman" w:hAnsi="Times New Roman" w:eastAsia="Times New Roman"/>
          <w:b w:val="0"/>
          <w:i w:val="0"/>
          <w:color w:val="000000"/>
          <w:sz w:val="28"/>
        </w:rPr>
        <w:t>CHƯƠNG 3. HỌC SÂU CHO ĐIỀU CHẾ THÔNG MINH</w:t>
      </w:r>
    </w:p>
    <w:p>
      <w:pPr>
        <w:pStyle w:val="Heading2"/>
        <w:ind w:firstLine="0"/>
      </w:pPr>
      <w:r>
        <w:rPr>
          <w:rFonts w:ascii="Times New Roman" w:hAnsi="Times New Roman" w:eastAsia="Times New Roman"/>
          <w:b w:val="0"/>
          <w:i w:val="0"/>
          <w:color w:val="000000"/>
          <w:sz w:val="28"/>
        </w:rPr>
        <w:t>3.1. Điều chế trong kênh không lý tưởng</w:t>
      </w:r>
    </w:p>
    <w:p>
      <w:r>
        <w:rPr>
          <w:rFonts w:ascii="Times New Roman" w:hAnsi="Times New Roman" w:eastAsia="Times New Roman"/>
          <w:b w:val="0"/>
          <w:i w:val="0"/>
          <w:color w:val="000000"/>
          <w:sz w:val="28"/>
        </w:rPr>
        <w:t>Điều chế quyết định cách bit được biểu diễn thành tín hiệu vật lý. Trong kênh lý tưởng, các chòm sao như 16-QAM có cấu trúc rõ ràng và dễ giải điều chế. Trong kênh thực tế, tín hiệu có thể bị méo bởi PA, CFO, fading hoặc ISI, làm công thức LLR dựa trên giả thiết Gaussian không còn chính xác hoàn toàn.</w:t>
      </w:r>
    </w:p>
    <w:p>
      <w:pPr>
        <w:ind w:firstLine="0"/>
        <w:jc w:val="center"/>
      </w:pPr>
      <w:r>
        <w:drawing>
          <wp:inline xmlns:a="http://schemas.openxmlformats.org/drawingml/2006/main" xmlns:pic="http://schemas.openxmlformats.org/drawingml/2006/picture">
            <wp:extent cx="3240000" cy="3129449"/>
            <wp:docPr id="5" name="Picture 5"/>
            <wp:cNvGraphicFramePr>
              <a:graphicFrameLocks noChangeAspect="1"/>
            </wp:cNvGraphicFramePr>
            <a:graphic>
              <a:graphicData uri="http://schemas.openxmlformats.org/drawingml/2006/picture">
                <pic:pic>
                  <pic:nvPicPr>
                    <pic:cNvPr id="0" name="16QAM-constellation.png"/>
                    <pic:cNvPicPr/>
                  </pic:nvPicPr>
                  <pic:blipFill>
                    <a:blip r:embed="rId14"/>
                    <a:stretch>
                      <a:fillRect/>
                    </a:stretch>
                  </pic:blipFill>
                  <pic:spPr>
                    <a:xfrm>
                      <a:off x="0" y="0"/>
                      <a:ext cx="3240000" cy="3129449"/>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3.1. Chòm sao 16-QAM lý tưởng.</w:t>
      </w:r>
    </w:p>
    <w:p>
      <w:pPr>
        <w:ind w:firstLine="0"/>
        <w:jc w:val="center"/>
      </w:pPr>
      <w:r>
        <w:drawing>
          <wp:inline xmlns:a="http://schemas.openxmlformats.org/drawingml/2006/main" xmlns:pic="http://schemas.openxmlformats.org/drawingml/2006/picture">
            <wp:extent cx="3240000" cy="3200488"/>
            <wp:docPr id="6" name="Picture 6"/>
            <wp:cNvGraphicFramePr>
              <a:graphicFrameLocks noChangeAspect="1"/>
            </wp:cNvGraphicFramePr>
            <a:graphic>
              <a:graphicData uri="http://schemas.openxmlformats.org/drawingml/2006/picture">
                <pic:pic>
                  <pic:nvPicPr>
                    <pic:cNvPr id="0" name="16QAM-constellation-afterPA.png"/>
                    <pic:cNvPicPr/>
                  </pic:nvPicPr>
                  <pic:blipFill>
                    <a:blip r:embed="rId15"/>
                    <a:stretch>
                      <a:fillRect/>
                    </a:stretch>
                  </pic:blipFill>
                  <pic:spPr>
                    <a:xfrm>
                      <a:off x="0" y="0"/>
                      <a:ext cx="3240000" cy="3200488"/>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3.2. Chòm sao 16-QAM sau méo PA.</w:t>
      </w:r>
    </w:p>
    <w:p>
      <w:pPr>
        <w:spacing w:before="120" w:after="120"/>
        <w:ind w:firstLine="0"/>
        <w:jc w:val="center"/>
      </w:pPr>
      <m:oMathPara>
        <m:oMath>
          <m:r>
            <m:t>y = h x + n</m:t>
          </m:r>
        </m:oMath>
      </m:oMathPara>
      <w:r>
        <w:rPr>
          <w:rFonts w:ascii="Times New Roman" w:hAnsi="Times New Roman" w:eastAsia="Times New Roman"/>
          <w:b w:val="0"/>
          <w:i w:val="0"/>
          <w:color w:val="000000"/>
          <w:sz w:val="28"/>
        </w:rPr>
        <w:t xml:space="preserve">        (3.1)</w:t>
      </w:r>
    </w:p>
    <w:p>
      <w:pPr>
        <w:spacing w:before="120" w:after="120"/>
        <w:ind w:firstLine="0"/>
        <w:jc w:val="center"/>
      </w:pPr>
      <m:oMathPara>
        <m:oMath>
          <m:r>
            <m:t>L(b_k | y) = log [ Σ_{s∈S_k^1} exp(−|y−h s|²/N_0) / Σ_{s∈S_k^0} exp(−|y−h s|²/N_0) ]</m:t>
          </m:r>
        </m:oMath>
      </m:oMathPara>
      <w:r>
        <w:rPr>
          <w:rFonts w:ascii="Times New Roman" w:hAnsi="Times New Roman" w:eastAsia="Times New Roman"/>
          <w:b w:val="0"/>
          <w:i w:val="0"/>
          <w:color w:val="000000"/>
          <w:sz w:val="28"/>
        </w:rPr>
        <w:t xml:space="preserve">        (3.2)</w:t>
      </w:r>
    </w:p>
    <w:p>
      <w:pPr>
        <w:spacing w:before="120" w:after="120"/>
        <w:ind w:firstLine="0"/>
        <w:jc w:val="center"/>
      </w:pPr>
      <m:oMathPara>
        <m:oMath>
          <m:r>
            <m:t>PAPR = max_k |x_k|² / E[|x_k|²]</m:t>
          </m:r>
        </m:oMath>
      </m:oMathPara>
      <w:r>
        <w:rPr>
          <w:rFonts w:ascii="Times New Roman" w:hAnsi="Times New Roman" w:eastAsia="Times New Roman"/>
          <w:b w:val="0"/>
          <w:i w:val="0"/>
          <w:color w:val="000000"/>
          <w:sz w:val="28"/>
        </w:rPr>
        <w:t xml:space="preserve">        (3.3)</w:t>
      </w:r>
    </w:p>
    <w:p>
      <w:pPr>
        <w:spacing w:before="120" w:after="120"/>
        <w:ind w:firstLine="0"/>
        <w:jc w:val="center"/>
      </w:pPr>
      <m:oMathPara>
        <m:oMath>
          <m:r>
            <m:t>d_min = min_{i≠j} |s_i − s_j|</m:t>
          </m:r>
        </m:oMath>
      </m:oMathPara>
      <w:r>
        <w:rPr>
          <w:rFonts w:ascii="Times New Roman" w:hAnsi="Times New Roman" w:eastAsia="Times New Roman"/>
          <w:b w:val="0"/>
          <w:i w:val="0"/>
          <w:color w:val="000000"/>
          <w:sz w:val="28"/>
        </w:rPr>
        <w:t xml:space="preserve">        (3.4)</w:t>
      </w:r>
    </w:p>
    <w:p>
      <w:r>
        <w:rPr>
          <w:rFonts w:ascii="Times New Roman" w:hAnsi="Times New Roman" w:eastAsia="Times New Roman"/>
          <w:b w:val="0"/>
          <w:i w:val="0"/>
          <w:color w:val="000000"/>
          <w:sz w:val="28"/>
        </w:rPr>
        <w:t>Các công thức (3.1)-(3.4) mô tả mô hình kênh cơ bản, LLR theo chòm sao, PAPR và khoảng cách Euclid tối thiểu.</w:t>
      </w:r>
    </w:p>
    <w:p>
      <w:pPr>
        <w:pStyle w:val="Heading2"/>
        <w:ind w:firstLine="0"/>
      </w:pPr>
      <w:r>
        <w:rPr>
          <w:rFonts w:ascii="Times New Roman" w:hAnsi="Times New Roman" w:eastAsia="Times New Roman"/>
          <w:b w:val="0"/>
          <w:i w:val="0"/>
          <w:color w:val="000000"/>
          <w:sz w:val="28"/>
        </w:rPr>
        <w:t>3.2. Mô hình Autoencoder truyền thông</w:t>
      </w:r>
    </w:p>
    <w:p>
      <w:r>
        <w:rPr>
          <w:rFonts w:ascii="Times New Roman" w:hAnsi="Times New Roman" w:eastAsia="Times New Roman"/>
          <w:b w:val="0"/>
          <w:i w:val="0"/>
          <w:color w:val="000000"/>
          <w:sz w:val="28"/>
        </w:rPr>
        <w:t>Autoencoder truyền thông xem bộ phát, kênh và bộ thu như một hệ có thể huấn luyện. Bộ phát ánh xạ thông điệp thành tín hiệu, lớp kênh mô phỏng nhiễu và méo, còn bộ thu ước lượng lại thông điệp. Mục tiêu là học biểu diễn tín hiệu phù hợp với điều kiện kênh đã định.</w:t>
      </w:r>
    </w:p>
    <w:p>
      <w:pPr>
        <w:ind w:firstLine="0"/>
        <w:jc w:val="center"/>
      </w:pPr>
      <w:r>
        <w:drawing>
          <wp:inline xmlns:a="http://schemas.openxmlformats.org/drawingml/2006/main" xmlns:pic="http://schemas.openxmlformats.org/drawingml/2006/picture">
            <wp:extent cx="4320000" cy="1743429"/>
            <wp:docPr id="7" name="Picture 7"/>
            <wp:cNvGraphicFramePr>
              <a:graphicFrameLocks noChangeAspect="1"/>
            </wp:cNvGraphicFramePr>
            <a:graphic>
              <a:graphicData uri="http://schemas.openxmlformats.org/drawingml/2006/picture">
                <pic:pic>
                  <pic:nvPicPr>
                    <pic:cNvPr id="0" name="autoencoder.png"/>
                    <pic:cNvPicPr/>
                  </pic:nvPicPr>
                  <pic:blipFill>
                    <a:blip r:embed="rId16"/>
                    <a:stretch>
                      <a:fillRect/>
                    </a:stretch>
                  </pic:blipFill>
                  <pic:spPr>
                    <a:xfrm>
                      <a:off x="0" y="0"/>
                      <a:ext cx="4320000" cy="1743429"/>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3.3. Mô hình Autoencoder truyền thông.</w:t>
      </w:r>
    </w:p>
    <w:p>
      <w:pPr>
        <w:spacing w:before="120" w:after="120"/>
        <w:ind w:firstLine="0"/>
        <w:jc w:val="center"/>
      </w:pPr>
      <m:oMathPara>
        <m:oMath>
          <m:r>
            <m:t>x = f_θ(m),   y = Channel(x),   p̂(m | y) = g_φ(y)</m:t>
          </m:r>
        </m:oMath>
      </m:oMathPara>
      <w:r>
        <w:rPr>
          <w:rFonts w:ascii="Times New Roman" w:hAnsi="Times New Roman" w:eastAsia="Times New Roman"/>
          <w:b w:val="0"/>
          <w:i w:val="0"/>
          <w:color w:val="000000"/>
          <w:sz w:val="28"/>
        </w:rPr>
        <w:t xml:space="preserve">        (3.5)</w:t>
      </w:r>
    </w:p>
    <w:p>
      <w:pPr>
        <w:spacing w:before="120" w:after="120"/>
        <w:ind w:firstLine="0"/>
        <w:jc w:val="center"/>
      </w:pPr>
      <m:oMathPara>
        <m:oMath>
          <m:r>
            <m:t>E[|x|²] ≤ P</m:t>
          </m:r>
        </m:oMath>
      </m:oMathPara>
      <w:r>
        <w:rPr>
          <w:rFonts w:ascii="Times New Roman" w:hAnsi="Times New Roman" w:eastAsia="Times New Roman"/>
          <w:b w:val="0"/>
          <w:i w:val="0"/>
          <w:color w:val="000000"/>
          <w:sz w:val="28"/>
        </w:rPr>
        <w:t xml:space="preserve">        (3.6)</w:t>
      </w:r>
    </w:p>
    <w:p>
      <w:pPr>
        <w:spacing w:before="120" w:after="120"/>
        <w:ind w:firstLine="0"/>
        <w:jc w:val="center"/>
      </w:pPr>
      <m:oMathPara>
        <m:oMath>
          <m:r>
            <m:t>x_norm = x / sqrt(E[|x|²])</m:t>
          </m:r>
        </m:oMath>
      </m:oMathPara>
      <w:r>
        <w:rPr>
          <w:rFonts w:ascii="Times New Roman" w:hAnsi="Times New Roman" w:eastAsia="Times New Roman"/>
          <w:b w:val="0"/>
          <w:i w:val="0"/>
          <w:color w:val="000000"/>
          <w:sz w:val="28"/>
        </w:rPr>
        <w:t xml:space="preserve">        (3.7)</w:t>
      </w:r>
    </w:p>
    <w:p>
      <w:pPr>
        <w:spacing w:before="120" w:after="120"/>
        <w:ind w:firstLine="0"/>
        <w:jc w:val="center"/>
      </w:pPr>
      <m:oMathPara>
        <m:oMath>
          <m:r>
            <m:t>L_CE = − (1/N) Σ_{n=1}^{N} log p̂(m_n | y_n)</m:t>
          </m:r>
        </m:oMath>
      </m:oMathPara>
      <w:r>
        <w:rPr>
          <w:rFonts w:ascii="Times New Roman" w:hAnsi="Times New Roman" w:eastAsia="Times New Roman"/>
          <w:b w:val="0"/>
          <w:i w:val="0"/>
          <w:color w:val="000000"/>
          <w:sz w:val="28"/>
        </w:rPr>
        <w:t xml:space="preserve">        (3.8)</w:t>
      </w:r>
    </w:p>
    <w:p>
      <w:pPr>
        <w:spacing w:before="120" w:after="120"/>
        <w:ind w:firstLine="0"/>
        <w:jc w:val="center"/>
      </w:pPr>
      <m:oMathPara>
        <m:oMath>
          <m:r>
            <m:t>SER = (1/N_s) Σ_{k=1}^{N_s} 1{ ŝ_k ≠ s_k }</m:t>
          </m:r>
        </m:oMath>
      </m:oMathPara>
      <w:r>
        <w:rPr>
          <w:rFonts w:ascii="Times New Roman" w:hAnsi="Times New Roman" w:eastAsia="Times New Roman"/>
          <w:b w:val="0"/>
          <w:i w:val="0"/>
          <w:color w:val="000000"/>
          <w:sz w:val="28"/>
        </w:rPr>
        <w:t xml:space="preserve">        (3.9)</w:t>
      </w:r>
    </w:p>
    <w:p>
      <w:r>
        <w:rPr>
          <w:rFonts w:ascii="Times New Roman" w:hAnsi="Times New Roman" w:eastAsia="Times New Roman"/>
          <w:b w:val="0"/>
          <w:i w:val="0"/>
          <w:color w:val="000000"/>
          <w:sz w:val="28"/>
        </w:rPr>
        <w:t>Các công thức (3.5)-(3.9) mô tả mô hình học đầu cuối, ràng buộc công suất, hàm mất mát cross-entropy và tỷ lệ lỗi ký hiệu.</w:t>
      </w:r>
    </w:p>
    <w:p>
      <w:pPr>
        <w:pStyle w:val="Heading2"/>
        <w:ind w:firstLine="0"/>
      </w:pPr>
      <w:r>
        <w:rPr>
          <w:rFonts w:ascii="Times New Roman" w:hAnsi="Times New Roman" w:eastAsia="Times New Roman"/>
          <w:b w:val="0"/>
          <w:i w:val="0"/>
          <w:color w:val="000000"/>
          <w:sz w:val="28"/>
        </w:rPr>
        <w:t>3.3. Mô hình kênh không lý tưởng</w:t>
      </w:r>
    </w:p>
    <w:p>
      <w:pPr>
        <w:spacing w:before="120" w:after="120"/>
        <w:ind w:firstLine="0"/>
        <w:jc w:val="center"/>
      </w:pPr>
      <m:oMathPara>
        <m:oMath>
          <m:r>
            <m:t>x_PA = x / [1 + (|x|/A_sat)^{2p}]^{1/(2p)}</m:t>
          </m:r>
        </m:oMath>
      </m:oMathPara>
      <w:r>
        <w:rPr>
          <w:rFonts w:ascii="Times New Roman" w:hAnsi="Times New Roman" w:eastAsia="Times New Roman"/>
          <w:b w:val="0"/>
          <w:i w:val="0"/>
          <w:color w:val="000000"/>
          <w:sz w:val="28"/>
        </w:rPr>
        <w:t xml:space="preserve">        (3.10)</w:t>
      </w:r>
    </w:p>
    <w:p>
      <w:pPr>
        <w:spacing w:before="120" w:after="120"/>
        <w:ind w:firstLine="0"/>
        <w:jc w:val="center"/>
      </w:pPr>
      <m:oMathPara>
        <m:oMath>
          <m:r>
            <m:t>φ_AMPM(|x|) = α |x|² / (1 + β |x|²)</m:t>
          </m:r>
        </m:oMath>
      </m:oMathPara>
      <w:r>
        <w:rPr>
          <w:rFonts w:ascii="Times New Roman" w:hAnsi="Times New Roman" w:eastAsia="Times New Roman"/>
          <w:b w:val="0"/>
          <w:i w:val="0"/>
          <w:color w:val="000000"/>
          <w:sz w:val="28"/>
        </w:rPr>
        <w:t xml:space="preserve">        (3.11)</w:t>
      </w:r>
    </w:p>
    <w:p>
      <w:pPr>
        <w:spacing w:before="120" w:after="120"/>
        <w:ind w:firstLine="0"/>
        <w:jc w:val="center"/>
      </w:pPr>
      <m:oMathPara>
        <m:oMath>
          <m:r>
            <m:t>y_k = x_k e^{j(2πΔf kT + φ_0)} + n_k</m:t>
          </m:r>
        </m:oMath>
      </m:oMathPara>
      <w:r>
        <w:rPr>
          <w:rFonts w:ascii="Times New Roman" w:hAnsi="Times New Roman" w:eastAsia="Times New Roman"/>
          <w:b w:val="0"/>
          <w:i w:val="0"/>
          <w:color w:val="000000"/>
          <w:sz w:val="28"/>
        </w:rPr>
        <w:t xml:space="preserve">        (3.12)</w:t>
      </w:r>
    </w:p>
    <w:p>
      <w:pPr>
        <w:spacing w:before="120" w:after="120"/>
        <w:ind w:firstLine="0"/>
        <w:jc w:val="center"/>
      </w:pPr>
      <m:oMathPara>
        <m:oMath>
          <m:r>
            <m:t>y_k = Σ_{l=0}^{L-1} h_l x_{k-l} + n_k</m:t>
          </m:r>
        </m:oMath>
      </m:oMathPara>
      <w:r>
        <w:rPr>
          <w:rFonts w:ascii="Times New Roman" w:hAnsi="Times New Roman" w:eastAsia="Times New Roman"/>
          <w:b w:val="0"/>
          <w:i w:val="0"/>
          <w:color w:val="000000"/>
          <w:sz w:val="28"/>
        </w:rPr>
        <w:t xml:space="preserve">        (3.13)</w:t>
      </w:r>
    </w:p>
    <w:p>
      <w:pPr>
        <w:spacing w:before="120" w:after="120"/>
        <w:ind w:firstLine="0"/>
        <w:jc w:val="center"/>
      </w:pPr>
      <m:oMathPara>
        <m:oMath>
          <m:r>
            <m:t>h_l ~ CN(0, σ_l²),     Σ_l σ_l² = 1</m:t>
          </m:r>
        </m:oMath>
      </m:oMathPara>
      <w:r>
        <w:rPr>
          <w:rFonts w:ascii="Times New Roman" w:hAnsi="Times New Roman" w:eastAsia="Times New Roman"/>
          <w:b w:val="0"/>
          <w:i w:val="0"/>
          <w:color w:val="000000"/>
          <w:sz w:val="28"/>
        </w:rPr>
        <w:t xml:space="preserve">        (3.14)</w:t>
      </w:r>
    </w:p>
    <w:p>
      <w:pPr>
        <w:spacing w:before="120" w:after="120"/>
        <w:ind w:firstLine="0"/>
        <w:jc w:val="center"/>
      </w:pPr>
      <m:oMathPara>
        <m:oMath>
          <m:r>
            <m:t>L_BCE = − Σ_k [ b_k log p̂_k + (1 − b_k) log(1 − p̂_k) ]</m:t>
          </m:r>
        </m:oMath>
      </m:oMathPara>
      <w:r>
        <w:rPr>
          <w:rFonts w:ascii="Times New Roman" w:hAnsi="Times New Roman" w:eastAsia="Times New Roman"/>
          <w:b w:val="0"/>
          <w:i w:val="0"/>
          <w:color w:val="000000"/>
          <w:sz w:val="28"/>
        </w:rPr>
        <w:t xml:space="preserve">        (3.15)</w:t>
      </w:r>
    </w:p>
    <w:p>
      <w:r>
        <w:rPr>
          <w:rFonts w:ascii="Times New Roman" w:hAnsi="Times New Roman" w:eastAsia="Times New Roman"/>
          <w:b w:val="0"/>
          <w:i w:val="0"/>
          <w:color w:val="000000"/>
          <w:sz w:val="28"/>
        </w:rPr>
        <w:t>Các công thức (3.10)-(3.15) mô tả méo PA, AM/PM, CFO, ISI, fading Rayleigh và hàm mất mát nhị phân phù hợp hơn với đầu ra bit mềm.</w:t>
      </w:r>
    </w:p>
    <w:p>
      <w:pPr>
        <w:ind w:firstLine="0"/>
        <w:jc w:val="center"/>
      </w:pPr>
      <w:r>
        <w:drawing>
          <wp:inline xmlns:a="http://schemas.openxmlformats.org/drawingml/2006/main" xmlns:pic="http://schemas.openxmlformats.org/drawingml/2006/picture">
            <wp:extent cx="3960000" cy="1373643"/>
            <wp:docPr id="8" name="Picture 8"/>
            <wp:cNvGraphicFramePr>
              <a:graphicFrameLocks noChangeAspect="1"/>
            </wp:cNvGraphicFramePr>
            <a:graphic>
              <a:graphicData uri="http://schemas.openxmlformats.org/drawingml/2006/picture">
                <pic:pic>
                  <pic:nvPicPr>
                    <pic:cNvPr id="0" name="PA characteristic curve.png"/>
                    <pic:cNvPicPr/>
                  </pic:nvPicPr>
                  <pic:blipFill>
                    <a:blip r:embed="rId17"/>
                    <a:stretch>
                      <a:fillRect/>
                    </a:stretch>
                  </pic:blipFill>
                  <pic:spPr>
                    <a:xfrm>
                      <a:off x="0" y="0"/>
                      <a:ext cx="3960000" cy="1373643"/>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3.4. Đặc tuyến PA.</w:t>
      </w:r>
    </w:p>
    <w:p>
      <w:pPr>
        <w:ind w:firstLine="0"/>
        <w:jc w:val="center"/>
      </w:pPr>
      <w:r>
        <w:drawing>
          <wp:inline xmlns:a="http://schemas.openxmlformats.org/drawingml/2006/main" xmlns:pic="http://schemas.openxmlformats.org/drawingml/2006/picture">
            <wp:extent cx="3960000" cy="2097361"/>
            <wp:docPr id="9" name="Picture 9"/>
            <wp:cNvGraphicFramePr>
              <a:graphicFrameLocks noChangeAspect="1"/>
            </wp:cNvGraphicFramePr>
            <a:graphic>
              <a:graphicData uri="http://schemas.openxmlformats.org/drawingml/2006/picture">
                <pic:pic>
                  <pic:nvPicPr>
                    <pic:cNvPr id="0" name="CFO-effect.png"/>
                    <pic:cNvPicPr/>
                  </pic:nvPicPr>
                  <pic:blipFill>
                    <a:blip r:embed="rId18"/>
                    <a:stretch>
                      <a:fillRect/>
                    </a:stretch>
                  </pic:blipFill>
                  <pic:spPr>
                    <a:xfrm>
                      <a:off x="0" y="0"/>
                      <a:ext cx="3960000" cy="2097361"/>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3.5. Ảnh hưởng CFO.</w:t>
      </w:r>
    </w:p>
    <w:p>
      <w:pPr>
        <w:pStyle w:val="Heading2"/>
        <w:ind w:firstLine="0"/>
      </w:pPr>
      <w:r>
        <w:rPr>
          <w:rFonts w:ascii="Times New Roman" w:hAnsi="Times New Roman" w:eastAsia="Times New Roman"/>
          <w:b w:val="0"/>
          <w:i w:val="0"/>
          <w:color w:val="000000"/>
          <w:sz w:val="28"/>
        </w:rPr>
        <w:t>3.4. Phân tích các kịch bản mô phỏng</w:t>
      </w:r>
    </w:p>
    <w:p>
      <w:r>
        <w:rPr>
          <w:rFonts w:ascii="Times New Roman" w:hAnsi="Times New Roman" w:eastAsia="Times New Roman"/>
          <w:b w:val="0"/>
          <w:i w:val="0"/>
          <w:color w:val="000000"/>
          <w:sz w:val="28"/>
        </w:rPr>
        <w:t>Kịch bản 1 so sánh Autoencoder một ký hiệu với 16-QAM trong kênh Rayleigh kết hợp méo PA. Mục tiêu là đánh giá liệu chòm sao học được có thích nghi tốt hơn với méo phi tuyến hay không.</w:t>
      </w:r>
    </w:p>
    <w:p>
      <w:r>
        <w:rPr>
          <w:rFonts w:ascii="Times New Roman" w:hAnsi="Times New Roman" w:eastAsia="Times New Roman"/>
          <w:b w:val="0"/>
          <w:i w:val="0"/>
          <w:color w:val="000000"/>
          <w:sz w:val="28"/>
        </w:rPr>
        <w:t>Kịch bản 2 xét Autoencoder nhiều ký hiệu dưới ảnh hưởng CFO. Khi có lệch tần số, pha quay theo thời gian, do đó xử lý chuỗi có thể khai thác thông tin ngữ cảnh tốt hơn giải điều chế từng ký hiệu độc lập.</w:t>
      </w:r>
    </w:p>
    <w:p>
      <w:r>
        <w:rPr>
          <w:rFonts w:ascii="Times New Roman" w:hAnsi="Times New Roman" w:eastAsia="Times New Roman"/>
          <w:b w:val="0"/>
          <w:i w:val="0"/>
          <w:color w:val="000000"/>
          <w:sz w:val="28"/>
        </w:rPr>
        <w:t>Kịch bản 3 bổ sung đặc trưng mã hóa kênh neural. Kịch bản này cho thấy khả năng kết hợp điều chế học sâu với dư thừa thông tin, nhưng chưa được xem là tích hợp BIBCM-ID hoàn chỉnh.</w:t>
      </w:r>
    </w:p>
    <w:p>
      <w:pPr>
        <w:ind w:firstLine="0"/>
        <w:jc w:val="center"/>
      </w:pPr>
      <w:r>
        <w:drawing>
          <wp:inline xmlns:a="http://schemas.openxmlformats.org/drawingml/2006/main" xmlns:pic="http://schemas.openxmlformats.org/drawingml/2006/picture">
            <wp:extent cx="3240000" cy="3019806"/>
            <wp:docPr id="10" name="Picture 10"/>
            <wp:cNvGraphicFramePr>
              <a:graphicFrameLocks noChangeAspect="1"/>
            </wp:cNvGraphicFramePr>
            <a:graphic>
              <a:graphicData uri="http://schemas.openxmlformats.org/drawingml/2006/picture">
                <pic:pic>
                  <pic:nvPicPr>
                    <pic:cNvPr id="0" name="AE-learned-consteallation.png"/>
                    <pic:cNvPicPr/>
                  </pic:nvPicPr>
                  <pic:blipFill>
                    <a:blip r:embed="rId19"/>
                    <a:stretch>
                      <a:fillRect/>
                    </a:stretch>
                  </pic:blipFill>
                  <pic:spPr>
                    <a:xfrm>
                      <a:off x="0" y="0"/>
                      <a:ext cx="3240000" cy="3019806"/>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3.6. Chòm sao học được bởi Autoencoder.</w:t>
      </w:r>
    </w:p>
    <w:p>
      <w:pPr>
        <w:ind w:firstLine="0"/>
        <w:jc w:val="center"/>
      </w:pPr>
      <w:r>
        <w:drawing>
          <wp:inline xmlns:a="http://schemas.openxmlformats.org/drawingml/2006/main" xmlns:pic="http://schemas.openxmlformats.org/drawingml/2006/picture">
            <wp:extent cx="4320000" cy="2993058"/>
            <wp:docPr id="11" name="Picture 11"/>
            <wp:cNvGraphicFramePr>
              <a:graphicFrameLocks noChangeAspect="1"/>
            </wp:cNvGraphicFramePr>
            <a:graphic>
              <a:graphicData uri="http://schemas.openxmlformats.org/drawingml/2006/picture">
                <pic:pic>
                  <pic:nvPicPr>
                    <pic:cNvPr id="0" name="Scenario 1 result-BER AE vs 16QAM .png"/>
                    <pic:cNvPicPr/>
                  </pic:nvPicPr>
                  <pic:blipFill>
                    <a:blip r:embed="rId20"/>
                    <a:stretch>
                      <a:fillRect/>
                    </a:stretch>
                  </pic:blipFill>
                  <pic:spPr>
                    <a:xfrm>
                      <a:off x="0" y="0"/>
                      <a:ext cx="4320000" cy="2993058"/>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3.7. BER kịch bản 1.</w:t>
      </w:r>
    </w:p>
    <w:p>
      <w:pPr>
        <w:ind w:firstLine="0"/>
        <w:jc w:val="center"/>
      </w:pPr>
      <w:r>
        <w:drawing>
          <wp:inline xmlns:a="http://schemas.openxmlformats.org/drawingml/2006/main" xmlns:pic="http://schemas.openxmlformats.org/drawingml/2006/picture">
            <wp:extent cx="4320000" cy="2968344"/>
            <wp:docPr id="12" name="Picture 12"/>
            <wp:cNvGraphicFramePr>
              <a:graphicFrameLocks noChangeAspect="1"/>
            </wp:cNvGraphicFramePr>
            <a:graphic>
              <a:graphicData uri="http://schemas.openxmlformats.org/drawingml/2006/picture">
                <pic:pic>
                  <pic:nvPicPr>
                    <pic:cNvPr id="0" name="Scenario 2 result-BER AE vs 16QAM CFO 0.005 .png"/>
                    <pic:cNvPicPr/>
                  </pic:nvPicPr>
                  <pic:blipFill>
                    <a:blip r:embed="rId21"/>
                    <a:stretch>
                      <a:fillRect/>
                    </a:stretch>
                  </pic:blipFill>
                  <pic:spPr>
                    <a:xfrm>
                      <a:off x="0" y="0"/>
                      <a:ext cx="4320000" cy="296834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3.8. BER với CFO = 0,005.</w:t>
      </w:r>
    </w:p>
    <w:p>
      <w:pPr>
        <w:ind w:firstLine="0"/>
        <w:jc w:val="center"/>
      </w:pPr>
      <w:r>
        <w:drawing>
          <wp:inline xmlns:a="http://schemas.openxmlformats.org/drawingml/2006/main" xmlns:pic="http://schemas.openxmlformats.org/drawingml/2006/picture">
            <wp:extent cx="4320000" cy="2990315"/>
            <wp:docPr id="13" name="Picture 13"/>
            <wp:cNvGraphicFramePr>
              <a:graphicFrameLocks noChangeAspect="1"/>
            </wp:cNvGraphicFramePr>
            <a:graphic>
              <a:graphicData uri="http://schemas.openxmlformats.org/drawingml/2006/picture">
                <pic:pic>
                  <pic:nvPicPr>
                    <pic:cNvPr id="0" name="Scenario 2 result-BER AE vs 16QAM CFO 0.01 .png"/>
                    <pic:cNvPicPr/>
                  </pic:nvPicPr>
                  <pic:blipFill>
                    <a:blip r:embed="rId22"/>
                    <a:stretch>
                      <a:fillRect/>
                    </a:stretch>
                  </pic:blipFill>
                  <pic:spPr>
                    <a:xfrm>
                      <a:off x="0" y="0"/>
                      <a:ext cx="4320000" cy="2990315"/>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3.9. BER với CFO = 0,01.</w:t>
      </w:r>
    </w:p>
    <w:p>
      <w:pPr>
        <w:ind w:firstLine="0"/>
        <w:jc w:val="center"/>
      </w:pPr>
      <w:r>
        <w:drawing>
          <wp:inline xmlns:a="http://schemas.openxmlformats.org/drawingml/2006/main" xmlns:pic="http://schemas.openxmlformats.org/drawingml/2006/picture">
            <wp:extent cx="4320000" cy="2714421"/>
            <wp:docPr id="14" name="Picture 14"/>
            <wp:cNvGraphicFramePr>
              <a:graphicFrameLocks noChangeAspect="1"/>
            </wp:cNvGraphicFramePr>
            <a:graphic>
              <a:graphicData uri="http://schemas.openxmlformats.org/drawingml/2006/picture">
                <pic:pic>
                  <pic:nvPicPr>
                    <pic:cNvPr id="0" name="Scenario 3 AE with channel coding feature .png"/>
                    <pic:cNvPicPr/>
                  </pic:nvPicPr>
                  <pic:blipFill>
                    <a:blip r:embed="rId23"/>
                    <a:stretch>
                      <a:fillRect/>
                    </a:stretch>
                  </pic:blipFill>
                  <pic:spPr>
                    <a:xfrm>
                      <a:off x="0" y="0"/>
                      <a:ext cx="4320000" cy="2714421"/>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Hình 3.10. Autoencoder có đặc trưng mã hóa kênh neural.</w:t>
      </w:r>
    </w:p>
    <w:p>
      <w:pPr>
        <w:pStyle w:val="Heading2"/>
        <w:ind w:firstLine="0"/>
      </w:pPr>
      <w:r>
        <w:rPr>
          <w:rFonts w:ascii="Times New Roman" w:hAnsi="Times New Roman" w:eastAsia="Times New Roman"/>
          <w:b w:val="0"/>
          <w:i w:val="0"/>
          <w:color w:val="000000"/>
          <w:sz w:val="28"/>
        </w:rPr>
        <w:t>3.5. Điều kiện để tích hợp vào BIBCM-ID</w:t>
      </w:r>
    </w:p>
    <w:p>
      <w:r>
        <w:rPr>
          <w:rFonts w:ascii="Times New Roman" w:hAnsi="Times New Roman" w:eastAsia="Times New Roman"/>
          <w:b w:val="0"/>
          <w:i w:val="0"/>
          <w:color w:val="000000"/>
          <w:sz w:val="28"/>
        </w:rPr>
        <w:t>Để tích hợp điều chế học sâu vào BIBCM-ID, bộ thu cần tạo được thông tin mềm mức bit thay vì chỉ quyết định cứng. Xác suất đầu ra của mạng cần được hiệu chỉnh để có ý nghĩa như LLR.</w:t>
      </w:r>
    </w:p>
    <w:p>
      <w:r>
        <w:rPr>
          <w:rFonts w:ascii="Times New Roman" w:hAnsi="Times New Roman" w:eastAsia="Times New Roman"/>
          <w:b w:val="0"/>
          <w:i w:val="0"/>
          <w:color w:val="000000"/>
          <w:sz w:val="28"/>
        </w:rPr>
        <w:t>Mô hình điều chế cũng cần tương thích với bộ xen kẽ. Nếu Autoencoder ánh xạ toàn bộ thông điệp thay vì nhóm bit đã xen kẽ, quan hệ giữa mã kênh và nhãn điều chế sẽ không rõ ràng.</w:t>
      </w:r>
    </w:p>
    <w:p>
      <w:r>
        <w:rPr>
          <w:rFonts w:ascii="Times New Roman" w:hAnsi="Times New Roman" w:eastAsia="Times New Roman"/>
          <w:b w:val="0"/>
          <w:i w:val="0"/>
          <w:color w:val="000000"/>
          <w:sz w:val="28"/>
        </w:rPr>
        <w:t>Do đó, luận văn chỉ xem Autoencoder như một hướng nghiên cứu điều chế độc lập có liên quan đến BIBCM-ID. Việc tích hợp hoàn chỉnh là hướng phát triển tiếp theo.</w:t>
      </w:r>
    </w:p>
    <w:p>
      <w:r>
        <w:rPr>
          <w:rFonts w:ascii="Times New Roman" w:hAnsi="Times New Roman" w:eastAsia="Times New Roman"/>
          <w:b w:val="0"/>
          <w:i w:val="0"/>
          <w:color w:val="000000"/>
          <w:sz w:val="28"/>
        </w:rPr>
        <w:t>Trong phân tích điều chế dựa trên Autoencoder trong kênh không lý tưởng,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điều chế dựa trên Autoencoder trong kênh không lý tưởng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điều chế dựa trên Autoencoder trong kênh không lý tưởng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điều chế dựa trên Autoencoder trong kênh không lý tưởng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điều chế dựa trên Autoencoder trong kênh không lý tưởng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điều chế dựa trên Autoencoder trong kênh không lý tưởng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điều chế dựa trên Autoencoder trong kênh không lý tưởng,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điều chế dựa trên Autoencoder trong kênh không lý tưởng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điều chế dựa trên Autoencoder trong kênh không lý tưởng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điều chế dựa trên Autoencoder trong kênh không lý tưởng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điều chế dựa trên Autoencoder trong kênh không lý tưởng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điều chế dựa trên Autoencoder trong kênh không lý tưởng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điều chế dựa trên Autoencoder trong kênh không lý tưởng,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điều chế dựa trên Autoencoder trong kênh không lý tưởng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điều chế dựa trên Autoencoder trong kênh không lý tưởng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điều chế dựa trên Autoencoder trong kênh không lý tưởng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điều chế dựa trên Autoencoder trong kênh không lý tưởng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điều chế dựa trên Autoencoder trong kênh không lý tưởng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điều chế dựa trên Autoencoder trong kênh không lý tưởng,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điều chế dựa trên Autoencoder trong kênh không lý tưởng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điều chế dựa trên Autoencoder trong kênh không lý tưởng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điều chế dựa trên Autoencoder trong kênh không lý tưởng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điều chế dựa trên Autoencoder trong kênh không lý tưởng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điều chế dựa trên Autoencoder trong kênh không lý tưởng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điều chế dựa trên Autoencoder trong kênh không lý tưởng,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điều chế dựa trên Autoencoder trong kênh không lý tưởng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điều chế dựa trên Autoencoder trong kênh không lý tưởng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điều chế dựa trên Autoencoder trong kênh không lý tưởng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điều chế dựa trên Autoencoder trong kênh không lý tưởng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điều chế dựa trên Autoencoder trong kênh không lý tưởng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điều chế dựa trên Autoencoder trong kênh không lý tưởng,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điều chế dựa trên Autoencoder trong kênh không lý tưởng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điều chế dựa trên Autoencoder trong kênh không lý tưởng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điều chế dựa trên Autoencoder trong kênh không lý tưởng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điều chế dựa trên Autoencoder trong kênh không lý tưởng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điều chế dựa trên Autoencoder trong kênh không lý tưởng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điều chế dựa trên Autoencoder trong kênh không lý tưởng,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điều chế dựa trên Autoencoder trong kênh không lý tưởng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điều chế dựa trên Autoencoder trong kênh không lý tưởng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điều chế dựa trên Autoencoder trong kênh không lý tưởng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điều chế dựa trên Autoencoder trong kênh không lý tưởng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điều chế dựa trên Autoencoder trong kênh không lý tưởng rõ hơn. Khi chỉ thay đổi bộ giải mã, thay đổi BER có thể liên hệ với cơ chế truyền bản tin. Khi chỉ thay đổi điều chế, thay đổi BER có thể liên hệ với hình học tín hiệu và giải điều chế.</w:t>
      </w:r>
    </w:p>
    <w:p>
      <w:r>
        <w:rPr>
          <w:rFonts w:ascii="Times New Roman" w:hAnsi="Times New Roman" w:eastAsia="Times New Roman"/>
          <w:b w:val="0"/>
          <w:i w:val="0"/>
          <w:color w:val="000000"/>
          <w:sz w:val="28"/>
        </w:rPr>
        <w:t>Trong phân tích điều chế dựa trên Autoencoder trong kênh không lý tưởng, chất lượng thông tin mềm được xem là tiêu chí kỹ thuật trung tâm bên cạnh quyết định cứng cuối cùng. Các giá trị độ tin cậy được truyền qua nhiều khối xử lý; nếu các giá trị này được hiệu chỉnh tốt, quá trình lặp có thể hỗ trợ quyết định. Ngược lại, nếu thông tin mềm bị lệch hoặc quá tự tin, các vòng lặp sau có thể củng cố xu hướng sai.</w:t>
      </w:r>
    </w:p>
    <w:p>
      <w:r>
        <w:rPr>
          <w:rFonts w:ascii="Times New Roman" w:hAnsi="Times New Roman" w:eastAsia="Times New Roman"/>
          <w:b w:val="0"/>
          <w:i w:val="0"/>
          <w:color w:val="000000"/>
          <w:sz w:val="28"/>
        </w:rPr>
        <w:t>Về mặt triển khai, điều chế dựa trên Autoencoder trong kênh không lý tưởng cần được đánh giá trong ràng buộc tài nguyên tính toán. Một phương pháp có cải thiện BER nhưng yêu cầu mạng nơ-ron lớn chưa chắc phù hợp với bộ thu thực tế. Do đó, luận văn liên hệ hiệu năng với độ phức tạp tính toán, bộ nhớ, độ trễ và khả năng hiện thực phần cứng.</w:t>
      </w:r>
    </w:p>
    <w:p>
      <w:r>
        <w:rPr>
          <w:rFonts w:ascii="Times New Roman" w:hAnsi="Times New Roman" w:eastAsia="Times New Roman"/>
          <w:b w:val="0"/>
          <w:i w:val="0"/>
          <w:color w:val="000000"/>
          <w:sz w:val="28"/>
        </w:rPr>
        <w:t>Một vấn đề lặp lại trong điều chế dựa trên Autoencoder trong kênh không lý tưởng là sai lệch mô hình. Bộ thu thường được thiết kế theo một mô hình kênh giả định, trong khi kênh thực có thể chứa méo phi tuyến, lệch pha, fading, lượng tử hóa hoặc sai lệch đồng bộ. Thành phần học máy chỉ có khả năng khái quát khi miền huấn luyện bao phủ các biến thiên liên quan.</w:t>
      </w:r>
    </w:p>
    <w:p>
      <w:r>
        <w:rPr>
          <w:rFonts w:ascii="Times New Roman" w:hAnsi="Times New Roman" w:eastAsia="Times New Roman"/>
          <w:b w:val="0"/>
          <w:i w:val="0"/>
          <w:color w:val="000000"/>
          <w:sz w:val="28"/>
        </w:rPr>
        <w:t>Cách tiếp cận của luận văn đối với điều chế dựa trên Autoencoder trong kênh không lý tưởng là cách tiếp cận lai. Cấu trúc lý thuyết truyền thông được giữ lại, còn mạng nơ-ron được dùng để xấp xỉ hoặc hiệu chỉnh các ánh xạ phi tuyến khó mô tả chính xác bằng công thức đóng.</w:t>
      </w:r>
    </w:p>
    <w:p>
      <w:r>
        <w:rPr>
          <w:rFonts w:ascii="Times New Roman" w:hAnsi="Times New Roman" w:eastAsia="Times New Roman"/>
          <w:b w:val="0"/>
          <w:i w:val="0"/>
          <w:color w:val="000000"/>
          <w:sz w:val="28"/>
        </w:rPr>
        <w:t>Các kết quả mô phỏng liên quan đến điều chế dựa trên Autoencoder trong kênh không lý tưởng được dùng như bằng chứng về xu hướng và tính khả thi, không được diễn giải như kết luận tổng quát cho mọi cấu hình. Mỗi kết quả phụ thuộc vào độ dài mã, dạng điều chế, miền SNR, tham số kênh, số bit mô phỏng và cấu hình huấn luyện.</w:t>
      </w:r>
    </w:p>
    <w:p>
      <w:r>
        <w:rPr>
          <w:rFonts w:ascii="Times New Roman" w:hAnsi="Times New Roman" w:eastAsia="Times New Roman"/>
          <w:b w:val="0"/>
          <w:i w:val="0"/>
          <w:color w:val="000000"/>
          <w:sz w:val="28"/>
        </w:rPr>
        <w:t>Góc nhìn theo từng khối giúp phân tích điều chế dựa trên Autoencoder trong kênh không lý tưởng rõ hơn. Khi chỉ thay đổi bộ giải mã, thay đổi BER có thể liên hệ với cơ chế truyền bản tin. Khi chỉ thay đổi điều chế, thay đổi BER có thể liên hệ với hình học tín hiệu và giải điều chế.</w:t>
      </w:r>
    </w:p>
    <w:p>
      <w:pPr>
        <w:pStyle w:val="Heading2"/>
        <w:ind w:firstLine="0"/>
      </w:pPr>
      <w:r>
        <w:rPr>
          <w:rFonts w:ascii="Times New Roman" w:hAnsi="Times New Roman" w:eastAsia="Times New Roman"/>
          <w:b w:val="0"/>
          <w:i w:val="0"/>
          <w:color w:val="000000"/>
          <w:sz w:val="28"/>
        </w:rPr>
        <w:t>3.6. Kết luận chương</w:t>
      </w:r>
    </w:p>
    <w:p>
      <w:r>
        <w:rPr>
          <w:rFonts w:ascii="Times New Roman" w:hAnsi="Times New Roman" w:eastAsia="Times New Roman"/>
          <w:b w:val="0"/>
          <w:i w:val="0"/>
          <w:color w:val="000000"/>
          <w:sz w:val="28"/>
        </w:rPr>
        <w:t>Chương này đã phân tích điều chế thông minh dựa trên học sâu. Kết quả cho thấy khả năng thích nghi của Autoencoder trong các kịch bản kênh không lý tưởng, nhưng để tích hợp vào BIBCM-ID cần đầu ra mềm mức bit, huấn luyện robust và đánh giá hệ thống đầy đủ hơn.</w:t>
      </w:r>
    </w:p>
    <w:p>
      <w:r>
        <w:br w:type="page"/>
      </w:r>
    </w:p>
    <w:p>
      <w:pPr>
        <w:pStyle w:val="Heading1"/>
        <w:ind w:firstLine="0"/>
      </w:pPr>
      <w:r>
        <w:rPr>
          <w:rFonts w:ascii="Times New Roman" w:hAnsi="Times New Roman" w:eastAsia="Times New Roman"/>
          <w:b w:val="0"/>
          <w:i w:val="0"/>
          <w:color w:val="000000"/>
          <w:sz w:val="28"/>
        </w:rPr>
        <w:t>KẾT LUẬN VÀ KHUYẾN NGHỊ</w:t>
      </w:r>
    </w:p>
    <w:p>
      <w:r>
        <w:rPr>
          <w:rFonts w:ascii="Times New Roman" w:hAnsi="Times New Roman" w:eastAsia="Times New Roman"/>
          <w:b w:val="0"/>
          <w:i w:val="0"/>
          <w:color w:val="000000"/>
          <w:sz w:val="28"/>
        </w:rPr>
        <w:t>Luận văn đã phân tích hai hướng ứng dụng ANN liên quan đến BIBCM-ID: hỗ trợ giải mã LDPC và điều chế thông minh. Nội dung được giới hạn ở mức phân tích thành phần, chưa tuyên bố tích hợp hoàn chỉnh vào chuỗi BIBCM-ID.</w:t>
      </w:r>
    </w:p>
    <w:p>
      <w:r>
        <w:rPr>
          <w:rFonts w:ascii="Times New Roman" w:hAnsi="Times New Roman" w:eastAsia="Times New Roman"/>
          <w:b w:val="0"/>
          <w:i w:val="0"/>
          <w:color w:val="000000"/>
          <w:sz w:val="28"/>
        </w:rPr>
        <w:t>Đối với giải mã LDPC, ANN có thể xấp xỉ cập nhật nút kiểm tra của SPA và trong kịch bản nhãn tăng cường có thể điều chỉnh biên độ bản tin thiếu tin cậy. Đối với điều chế, Autoencoder cho thấy khả năng học biểu diễn tín hiệu thích nghi với PA, CFO, fading và ISI.</w:t>
      </w:r>
    </w:p>
    <w:p>
      <w:r>
        <w:rPr>
          <w:rFonts w:ascii="Times New Roman" w:hAnsi="Times New Roman" w:eastAsia="Times New Roman"/>
          <w:b w:val="0"/>
          <w:i w:val="0"/>
          <w:color w:val="000000"/>
          <w:sz w:val="28"/>
        </w:rPr>
        <w:t>Hướng phát triển tiếp theo là xây dựng bộ giải điều chế neural có đầu ra LLR, tích hợp với bộ giải mã LDPC, kiểm tra nhiều bộ xen kẽ, tăng số bit mô phỏng ở vùng BER thấp và đánh giá lượng tử hóa khi triển khai phần cứng.</w:t>
      </w:r>
    </w:p>
    <w:p>
      <w:r>
        <w:br w:type="page"/>
      </w:r>
    </w:p>
    <w:p>
      <w:pPr>
        <w:pStyle w:val="Heading1"/>
        <w:ind w:firstLine="0"/>
      </w:pPr>
      <w:r>
        <w:rPr>
          <w:rFonts w:ascii="Times New Roman" w:hAnsi="Times New Roman" w:eastAsia="Times New Roman"/>
          <w:b w:val="0"/>
          <w:i w:val="0"/>
          <w:color w:val="000000"/>
          <w:sz w:val="28"/>
        </w:rPr>
        <w:t>TÀI LIỆU THAM KHẢO</w:t>
      </w:r>
    </w:p>
    <w:p>
      <w:pPr>
        <w:ind w:firstLine="0" w:left="567"/>
      </w:pPr>
      <w:r>
        <w:rPr>
          <w:rFonts w:ascii="Times New Roman" w:hAnsi="Times New Roman" w:eastAsia="Times New Roman"/>
          <w:b w:val="0"/>
          <w:i w:val="0"/>
          <w:color w:val="000000"/>
          <w:sz w:val="28"/>
        </w:rPr>
        <w:t>[1] R. G. Gallager, “Low density parity check codes,” IRE Transactions on Information Theory, 1962.</w:t>
      </w:r>
    </w:p>
    <w:p>
      <w:pPr>
        <w:ind w:firstLine="0" w:left="567"/>
      </w:pPr>
      <w:r>
        <w:rPr>
          <w:rFonts w:ascii="Times New Roman" w:hAnsi="Times New Roman" w:eastAsia="Times New Roman"/>
          <w:b w:val="0"/>
          <w:i w:val="0"/>
          <w:color w:val="000000"/>
          <w:sz w:val="28"/>
        </w:rPr>
        <w:t>[2] D. J. C. MacKay and R. M. Neal, “Near Shannon limit performance of low density parity check codes,” Electronics Letters, 1996.</w:t>
      </w:r>
    </w:p>
    <w:p>
      <w:pPr>
        <w:ind w:firstLine="0" w:left="567"/>
      </w:pPr>
      <w:r>
        <w:rPr>
          <w:rFonts w:ascii="Times New Roman" w:hAnsi="Times New Roman" w:eastAsia="Times New Roman"/>
          <w:b w:val="0"/>
          <w:i w:val="0"/>
          <w:color w:val="000000"/>
          <w:sz w:val="28"/>
        </w:rPr>
        <w:t>[3] E. Nachmani, Y. Be'ery, and D. Burshtein, “Learning to decode linear codes using deep learning,” Allerton Conference, 2016.</w:t>
      </w:r>
    </w:p>
    <w:p>
      <w:pPr>
        <w:ind w:firstLine="0" w:left="567"/>
      </w:pPr>
      <w:r>
        <w:rPr>
          <w:rFonts w:ascii="Times New Roman" w:hAnsi="Times New Roman" w:eastAsia="Times New Roman"/>
          <w:b w:val="0"/>
          <w:i w:val="0"/>
          <w:color w:val="000000"/>
          <w:sz w:val="28"/>
        </w:rPr>
        <w:t>[4] T. J. O'Shea and J. Hoydis, “An introduction to deep learning for the physical layer,” IEEE TCCN, 2017.</w:t>
      </w:r>
    </w:p>
    <w:p>
      <w:pPr>
        <w:ind w:firstLine="0" w:left="567"/>
      </w:pPr>
      <w:r>
        <w:rPr>
          <w:rFonts w:ascii="Times New Roman" w:hAnsi="Times New Roman" w:eastAsia="Times New Roman"/>
          <w:b w:val="0"/>
          <w:i w:val="0"/>
          <w:color w:val="000000"/>
          <w:sz w:val="28"/>
        </w:rPr>
        <w:t>[5] S. Dörner et al., “Deep learning based communication over the air,” IEEE JSTSP, 2018.</w:t>
      </w:r>
    </w:p>
    <w:p>
      <w:pPr>
        <w:ind w:firstLine="0" w:left="567"/>
      </w:pPr>
      <w:r>
        <w:rPr>
          <w:rFonts w:ascii="Times New Roman" w:hAnsi="Times New Roman" w:eastAsia="Times New Roman"/>
          <w:b w:val="0"/>
          <w:i w:val="0"/>
          <w:color w:val="000000"/>
          <w:sz w:val="28"/>
        </w:rPr>
        <w:t>[6] Lại Tiến Đệ và Phạm Xuân Nghĩa, “Ứng dụng mạng nơ-ron nhân tạo cho giải mã LDPC nhằm tăng chất lượng và giảm độ phức tạp bộ giải mã,” bản thảo Publication 1, 2026.</w:t>
      </w:r>
    </w:p>
    <w:sectPr w:rsidR="00FC693F" w:rsidRPr="0006063C" w:rsidSect="00034616">
      <w:headerReference w:type="default" r:id="rId9"/>
      <w:pgSz w:w="11906" w:h="16838"/>
      <w:pgMar w:top="1984" w:right="1134" w:bottom="1701" w:left="1984"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firstLine="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