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396ED" w14:textId="4C1ABEA1" w:rsidR="0062745C" w:rsidRPr="005E05B0" w:rsidRDefault="0062745C" w:rsidP="001C51C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4C21BF17" w14:textId="4B027998" w:rsidR="0062745C" w:rsidRDefault="00000000" w:rsidP="001C51CB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62745C">
        <w:tab/>
      </w:r>
      <w:r w:rsidR="008D31BE">
        <w:tab/>
      </w:r>
      <w:hyperlink r:id="rId6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8D31BE">
        <w:rPr>
          <w:rFonts w:ascii="Times New Roman" w:hAnsi="Times New Roman" w:cs="Times New Roman"/>
          <w:sz w:val="20"/>
          <w:szCs w:val="20"/>
        </w:rPr>
        <w:tab/>
      </w:r>
      <w:r w:rsidR="008D31BE">
        <w:rPr>
          <w:rFonts w:ascii="Times New Roman" w:hAnsi="Times New Roman" w:cs="Times New Roman"/>
          <w:sz w:val="20"/>
          <w:szCs w:val="20"/>
        </w:rPr>
        <w:tab/>
      </w:r>
      <w:r w:rsidR="00871516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8F052E" w:rsidRPr="008F052E">
        <w:rPr>
          <w:rFonts w:ascii="Times New Roman" w:hAnsi="Times New Roman" w:cs="Times New Roman"/>
          <w:sz w:val="20"/>
          <w:szCs w:val="20"/>
        </w:rPr>
        <w:t>jialin-hau</w:t>
      </w:r>
      <w:r w:rsidR="00871516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3B980F52" w14:textId="77777777" w:rsidR="005E05B0" w:rsidRPr="00EE508B" w:rsidRDefault="005E05B0" w:rsidP="001C51CB">
      <w:pPr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2976"/>
        <w:gridCol w:w="1843"/>
      </w:tblGrid>
      <w:tr w:rsidR="002261C2" w14:paraId="113D407F" w14:textId="77777777" w:rsidTr="00D5374B">
        <w:tc>
          <w:tcPr>
            <w:tcW w:w="9067" w:type="dxa"/>
            <w:gridSpan w:val="2"/>
          </w:tcPr>
          <w:p w14:paraId="5656DC34" w14:textId="3E197C9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5D4A94D9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3DDF9BD" w14:textId="77777777" w:rsidTr="00D5374B">
        <w:tc>
          <w:tcPr>
            <w:tcW w:w="9067" w:type="dxa"/>
            <w:gridSpan w:val="2"/>
          </w:tcPr>
          <w:p w14:paraId="75DFFEAE" w14:textId="77E76B1E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</w:p>
        </w:tc>
        <w:tc>
          <w:tcPr>
            <w:tcW w:w="1843" w:type="dxa"/>
          </w:tcPr>
          <w:p w14:paraId="2D3A6268" w14:textId="49BC068C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34DA" w14:paraId="77E238B7" w14:textId="77777777" w:rsidTr="00D5374B">
        <w:tc>
          <w:tcPr>
            <w:tcW w:w="6091" w:type="dxa"/>
          </w:tcPr>
          <w:p w14:paraId="643B17CA" w14:textId="37B32C9A" w:rsidR="002234DA" w:rsidRPr="002261C2" w:rsidRDefault="002234DA" w:rsidP="002261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 xml:space="preserve"> (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)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2976" w:type="dxa"/>
          </w:tcPr>
          <w:p w14:paraId="65C285D9" w14:textId="5AB6F3C8" w:rsidR="002234DA" w:rsidRPr="002261C2" w:rsidRDefault="002234DA" w:rsidP="002261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7295CCE4" w14:textId="4D5417D4" w:rsidR="002234DA" w:rsidRPr="002261C2" w:rsidRDefault="002234DA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2234DA" w14:paraId="33EFF1E5" w14:textId="77777777" w:rsidTr="00D5374B">
        <w:tc>
          <w:tcPr>
            <w:tcW w:w="6091" w:type="dxa"/>
          </w:tcPr>
          <w:p w14:paraId="7E01B7CD" w14:textId="41DB48C4" w:rsidR="002234DA" w:rsidRPr="002261C2" w:rsidRDefault="002234DA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(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2976" w:type="dxa"/>
          </w:tcPr>
          <w:p w14:paraId="2BEA3EA5" w14:textId="34D3CE6A" w:rsidR="002234DA" w:rsidRPr="002261C2" w:rsidRDefault="002234DA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5471FC7C" w14:textId="652A5444" w:rsidR="002234DA" w:rsidRPr="002261C2" w:rsidRDefault="002234DA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261C2" w14:paraId="27667C88" w14:textId="77777777" w:rsidTr="00D5374B">
        <w:tc>
          <w:tcPr>
            <w:tcW w:w="10910" w:type="dxa"/>
            <w:gridSpan w:val="3"/>
          </w:tcPr>
          <w:p w14:paraId="688091CE" w14:textId="66544249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2261C2" w14:paraId="27CCADC5" w14:textId="77777777" w:rsidTr="00D5374B">
        <w:tc>
          <w:tcPr>
            <w:tcW w:w="9067" w:type="dxa"/>
            <w:gridSpan w:val="2"/>
          </w:tcPr>
          <w:p w14:paraId="77FA9E35" w14:textId="7BEFA034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6494494B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F90CD5" w14:paraId="6A7805BC" w14:textId="77777777" w:rsidTr="00D5374B">
        <w:tc>
          <w:tcPr>
            <w:tcW w:w="9067" w:type="dxa"/>
            <w:gridSpan w:val="2"/>
          </w:tcPr>
          <w:p w14:paraId="5405EBF0" w14:textId="077ABE2F" w:rsidR="00F90CD5" w:rsidRPr="002261C2" w:rsidRDefault="00F90CD5" w:rsidP="002261C2">
            <w:pPr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  <w:r w:rsidRPr="00F90CD5">
              <w:rPr>
                <w:rFonts w:eastAsia="Calibri"/>
                <w:b/>
                <w:color w:val="000000" w:themeColor="text1"/>
                <w:sz w:val="22"/>
                <w:szCs w:val="22"/>
              </w:rPr>
              <w:t>JPMorgan Chase and Co.</w:t>
            </w: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- </w:t>
            </w:r>
            <w:r w:rsidRPr="00F90CD5"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AI and Data Science Summer Associate</w:t>
            </w:r>
          </w:p>
        </w:tc>
        <w:tc>
          <w:tcPr>
            <w:tcW w:w="1843" w:type="dxa"/>
          </w:tcPr>
          <w:p w14:paraId="0239477C" w14:textId="5755AF28" w:rsidR="00F90CD5" w:rsidRDefault="00F90CD5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06/2024 – 08/2024</w:t>
            </w:r>
          </w:p>
        </w:tc>
      </w:tr>
      <w:tr w:rsidR="00F90CD5" w14:paraId="52F492FD" w14:textId="77777777" w:rsidTr="00D5374B">
        <w:tc>
          <w:tcPr>
            <w:tcW w:w="10910" w:type="dxa"/>
            <w:gridSpan w:val="3"/>
          </w:tcPr>
          <w:p w14:paraId="48DA79C6" w14:textId="3E94191A" w:rsidR="00F90CD5" w:rsidRPr="00F90CD5" w:rsidRDefault="00F90CD5" w:rsidP="00F90CD5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novel deep </w:t>
            </w:r>
            <w:r w:rsidR="00D5374B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einforcement </w:t>
            </w:r>
            <w:r w:rsidR="00D5374B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>earning (RL) approach to find gaps in strategy rules and models.</w:t>
            </w:r>
          </w:p>
          <w:p w14:paraId="206FA8BA" w14:textId="399CB041" w:rsidR="00F90CD5" w:rsidRPr="00F90CD5" w:rsidRDefault="00F90CD5" w:rsidP="00F90CD5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advanced </w:t>
            </w:r>
            <w:r w:rsidR="00D5374B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achine </w:t>
            </w:r>
            <w:r w:rsidR="00D5374B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earning (ML) models (i.e. Random Forest, XGBoost, LightGBM, CatBoost, Tab-transformer) and compared different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categorical </w:t>
            </w: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>encodings and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missing value</w:t>
            </w: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imputations for fraud prediction.</w:t>
            </w:r>
          </w:p>
          <w:p w14:paraId="1ACD59A3" w14:textId="57EFC659" w:rsidR="00F90CD5" w:rsidRPr="00032A0B" w:rsidRDefault="00032A0B" w:rsidP="00032A0B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>Developed code on AWS Cloud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>SageMaker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Bitbucket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and </w:t>
            </w:r>
            <w:r w:rsidR="002A2B6C" w:rsidRPr="002A2B6C">
              <w:rPr>
                <w:rFonts w:ascii="Times New Roman" w:eastAsia="Times New Roman" w:hAnsi="Times New Roman" w:cs="Times New Roman"/>
                <w:sz w:val="18"/>
                <w:szCs w:val="18"/>
              </w:rPr>
              <w:t>utilized</w:t>
            </w:r>
            <w:r w:rsidR="002A2B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>PySpark, Hadoop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EMR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o</w:t>
            </w:r>
            <w:r w:rsidR="00F90CD5"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ptimize code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for </w:t>
            </w:r>
            <w:r w:rsidR="00F90CD5" w:rsidRPr="00F90CD5">
              <w:rPr>
                <w:rFonts w:ascii="Times New Roman" w:eastAsia="Times New Roman" w:hAnsi="Times New Roman" w:cs="Times New Roman"/>
                <w:sz w:val="18"/>
                <w:szCs w:val="18"/>
              </w:rPr>
              <w:t>big data.</w:t>
            </w:r>
          </w:p>
        </w:tc>
      </w:tr>
      <w:tr w:rsidR="00F90CD5" w14:paraId="0B48C6D2" w14:textId="77777777" w:rsidTr="00D5374B">
        <w:tc>
          <w:tcPr>
            <w:tcW w:w="9067" w:type="dxa"/>
            <w:gridSpan w:val="2"/>
          </w:tcPr>
          <w:p w14:paraId="0237E9AC" w14:textId="77777777" w:rsidR="00F90CD5" w:rsidRPr="002261C2" w:rsidRDefault="00F90CD5" w:rsidP="002261C2">
            <w:pPr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0C2734" w14:textId="77777777" w:rsidR="00F90CD5" w:rsidRDefault="00F90CD5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77AB53AB" w14:textId="77777777" w:rsidTr="00D5374B">
        <w:tc>
          <w:tcPr>
            <w:tcW w:w="9067" w:type="dxa"/>
            <w:gridSpan w:val="2"/>
          </w:tcPr>
          <w:p w14:paraId="66803D2A" w14:textId="4D5A0D81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60B76BB1" w14:textId="0ECDDB20" w:rsid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  <w:r w:rsidR="007F261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2F5420" w14:paraId="488B72B6" w14:textId="77777777" w:rsidTr="00D5374B">
        <w:tc>
          <w:tcPr>
            <w:tcW w:w="10910" w:type="dxa"/>
            <w:gridSpan w:val="3"/>
          </w:tcPr>
          <w:p w14:paraId="1D1EFAE2" w14:textId="606A7FED" w:rsidR="002F5420" w:rsidRDefault="002F5420" w:rsidP="002F542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Reinforcement </w:t>
            </w:r>
            <w:r w:rsidR="00D5374B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5374B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achine </w:t>
            </w:r>
            <w:r w:rsidR="00D5374B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earning, </w:t>
            </w:r>
            <w:r w:rsidR="00D5374B">
              <w:rPr>
                <w:rFonts w:ascii="Times New Roman" w:hAnsi="Times New Roman" w:cs="Times New Roman"/>
                <w:sz w:val="18"/>
                <w:szCs w:val="18"/>
              </w:rPr>
              <w:t>Q</w:t>
            </w:r>
            <w:r w:rsidR="00024BE6" w:rsidRPr="00024BE6">
              <w:rPr>
                <w:rFonts w:ascii="Times New Roman" w:hAnsi="Times New Roman" w:cs="Times New Roman"/>
                <w:sz w:val="18"/>
                <w:szCs w:val="18"/>
              </w:rPr>
              <w:t xml:space="preserve">uantitative </w:t>
            </w:r>
            <w:r w:rsidR="00C578F1">
              <w:rPr>
                <w:rFonts w:ascii="Times New Roman" w:hAnsi="Times New Roman" w:cs="Times New Roman"/>
                <w:sz w:val="18"/>
                <w:szCs w:val="18"/>
              </w:rPr>
              <w:t>analysis</w:t>
            </w:r>
            <w:r w:rsidR="00024BE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Bayesian method.</w:t>
            </w:r>
          </w:p>
        </w:tc>
      </w:tr>
      <w:tr w:rsidR="002F5420" w14:paraId="38336EDD" w14:textId="77777777" w:rsidTr="00D5374B">
        <w:tc>
          <w:tcPr>
            <w:tcW w:w="9067" w:type="dxa"/>
            <w:gridSpan w:val="2"/>
          </w:tcPr>
          <w:p w14:paraId="02B5B652" w14:textId="49F2D08A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10200A2F" w14:textId="6E7548E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2F5420" w14:paraId="03DDD4C6" w14:textId="77777777" w:rsidTr="00D5374B">
        <w:tc>
          <w:tcPr>
            <w:tcW w:w="10910" w:type="dxa"/>
            <w:gridSpan w:val="3"/>
          </w:tcPr>
          <w:p w14:paraId="24C3BAB1" w14:textId="6AC74F9C" w:rsidR="002F5420" w:rsidRPr="006911A6" w:rsidRDefault="002F5420" w:rsidP="002F542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Assembly Language and Machine Organization</w:t>
            </w:r>
            <w:r w:rsidR="0034061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 Scientific Programming in Python and C, Computer networks</w:t>
            </w:r>
            <w:r w:rsidR="0034061F">
              <w:rPr>
                <w:rFonts w:ascii="Times New Roman" w:hAnsi="Times New Roman" w:cs="Times New Roman"/>
                <w:sz w:val="18"/>
                <w:szCs w:val="18"/>
              </w:rPr>
              <w:t>, Machine Learning</w:t>
            </w:r>
          </w:p>
        </w:tc>
      </w:tr>
      <w:tr w:rsidR="002F5420" w14:paraId="058046E6" w14:textId="77777777" w:rsidTr="00D5374B">
        <w:tc>
          <w:tcPr>
            <w:tcW w:w="9067" w:type="dxa"/>
            <w:gridSpan w:val="2"/>
          </w:tcPr>
          <w:p w14:paraId="70385371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BE61A00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6977016A" w14:textId="77777777" w:rsidTr="00D5374B">
        <w:tc>
          <w:tcPr>
            <w:tcW w:w="9067" w:type="dxa"/>
            <w:gridSpan w:val="2"/>
          </w:tcPr>
          <w:p w14:paraId="252C9151" w14:textId="4D13BC0F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recognition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application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9CF86E6" w14:textId="5BBEAF74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2F5420" w14:paraId="7252960B" w14:textId="77777777" w:rsidTr="00D5374B">
        <w:tc>
          <w:tcPr>
            <w:tcW w:w="10910" w:type="dxa"/>
            <w:gridSpan w:val="3"/>
          </w:tcPr>
          <w:p w14:paraId="3C347E06" w14:textId="046E797F" w:rsidR="002F5420" w:rsidRDefault="002F5420" w:rsidP="002F542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375129E" w14:textId="35EB892D" w:rsidR="00530218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="00530218"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598CF39" w14:textId="3728F92B" w:rsidR="002F5420" w:rsidRPr="00F62387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Implemented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active learning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allowing users to verify/update labels of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their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own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enabl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personalized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classification.</w:t>
            </w:r>
          </w:p>
        </w:tc>
      </w:tr>
      <w:tr w:rsidR="002F5420" w14:paraId="6B740D89" w14:textId="77777777" w:rsidTr="00D5374B">
        <w:tc>
          <w:tcPr>
            <w:tcW w:w="9067" w:type="dxa"/>
            <w:gridSpan w:val="2"/>
          </w:tcPr>
          <w:p w14:paraId="7B44288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0D44BFE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327F12A2" w14:textId="77777777" w:rsidTr="00D5374B">
        <w:tc>
          <w:tcPr>
            <w:tcW w:w="9067" w:type="dxa"/>
            <w:gridSpan w:val="2"/>
          </w:tcPr>
          <w:p w14:paraId="5E383ECC" w14:textId="124EAE6B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2ECE116B" w14:textId="2EBDD665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tr w:rsidR="002F5420" w14:paraId="1290F211" w14:textId="77777777" w:rsidTr="00D5374B">
        <w:tc>
          <w:tcPr>
            <w:tcW w:w="10910" w:type="dxa"/>
            <w:gridSpan w:val="3"/>
          </w:tcPr>
          <w:p w14:paraId="6600A010" w14:textId="45BA19FD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13120497" w14:textId="2F43452F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</w:t>
            </w:r>
            <w:r w:rsidR="00024BE6">
              <w:rPr>
                <w:rFonts w:ascii="Times New Roman" w:eastAsia="Times New Roman" w:hAnsi="Times New Roman" w:cs="Times New Roman"/>
                <w:sz w:val="18"/>
                <w:szCs w:val="18"/>
              </w:rPr>
              <w:t>forecast/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37B0A24" w14:textId="61ABEA7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2E6561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DB56282" w14:textId="1247A0EC" w:rsidR="002F5420" w:rsidRPr="00F61E3E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Created visualizations</w:t>
            </w:r>
            <w:r w:rsidR="00C578F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</w:t>
            </w:r>
            <w:r w:rsidR="00C578F1" w:rsidRPr="00C578F1">
              <w:rPr>
                <w:rFonts w:ascii="Times New Roman" w:eastAsia="Times New Roman" w:hAnsi="Times New Roman" w:cs="Times New Roman"/>
                <w:sz w:val="18"/>
                <w:szCs w:val="18"/>
              </w:rPr>
              <w:t>analytics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Tableau, which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peers and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F5420" w14:paraId="1BA23801" w14:textId="77777777" w:rsidTr="00D5374B">
        <w:tc>
          <w:tcPr>
            <w:tcW w:w="9067" w:type="dxa"/>
            <w:gridSpan w:val="2"/>
          </w:tcPr>
          <w:p w14:paraId="48B6B70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98F957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5F545E07" w14:textId="77777777" w:rsidTr="00D5374B">
        <w:tc>
          <w:tcPr>
            <w:tcW w:w="9067" w:type="dxa"/>
            <w:gridSpan w:val="2"/>
          </w:tcPr>
          <w:p w14:paraId="394B3716" w14:textId="55AD8033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158D0DBA" w14:textId="4850678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E86DA6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2F5420" w14:paraId="63AB487F" w14:textId="77777777" w:rsidTr="00D5374B">
        <w:tc>
          <w:tcPr>
            <w:tcW w:w="10910" w:type="dxa"/>
            <w:gridSpan w:val="3"/>
          </w:tcPr>
          <w:p w14:paraId="17E9102A" w14:textId="553CBAA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5E7109D7" w14:textId="06560C05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 w:rsid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620640E" w14:textId="42FE2761" w:rsidR="002F5420" w:rsidRPr="008D6089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3354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users’ data, and d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eveloped features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query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weathers and navigation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based on 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s’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locatio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n.</w:t>
            </w:r>
          </w:p>
        </w:tc>
      </w:tr>
      <w:tr w:rsidR="002F5420" w14:paraId="6E885A7C" w14:textId="77777777" w:rsidTr="00D5374B">
        <w:tc>
          <w:tcPr>
            <w:tcW w:w="9067" w:type="dxa"/>
            <w:gridSpan w:val="2"/>
          </w:tcPr>
          <w:p w14:paraId="3D09210E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45E5A9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0A2E37DF" w14:textId="77777777" w:rsidTr="00D5374B">
        <w:tc>
          <w:tcPr>
            <w:tcW w:w="9067" w:type="dxa"/>
            <w:gridSpan w:val="2"/>
          </w:tcPr>
          <w:p w14:paraId="6507E8C5" w14:textId="7D2FEA05" w:rsidR="002F5420" w:rsidRPr="002261C2" w:rsidRDefault="005E05B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7B79C958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6BE6BA6F" w14:textId="77777777" w:rsidTr="00D5374B">
        <w:tc>
          <w:tcPr>
            <w:tcW w:w="9067" w:type="dxa"/>
            <w:gridSpan w:val="2"/>
          </w:tcPr>
          <w:p w14:paraId="229BE436" w14:textId="7D6D4A88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</w:pPr>
            <w:r w:rsidRPr="00EF7F15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On Dynamic Programming Decompositions of Static Risk Measures in Markov Decision Processes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Pr="00EF7F15">
              <w:rPr>
                <w:rFonts w:ascii="Times New Roman" w:eastAsia="Times New Roman" w:hAnsi="Times New Roman" w:cs="Times New Roman"/>
                <w:b/>
                <w:bCs/>
                <w:color w:val="808080"/>
                <w:sz w:val="18"/>
                <w:szCs w:val="18"/>
              </w:rPr>
              <w:t>Jia Lin Hau</w:t>
            </w:r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Erick Delage, Marek Petrik, Mohammad Ghavamzadeh</w:t>
            </w:r>
          </w:p>
        </w:tc>
        <w:tc>
          <w:tcPr>
            <w:tcW w:w="1843" w:type="dxa"/>
          </w:tcPr>
          <w:p w14:paraId="518EBC9D" w14:textId="58D8B21A" w:rsidR="009B15AB" w:rsidRDefault="00232CED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</w:t>
            </w:r>
            <w:r w:rsidR="009B15AB"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9B15AB" w:rsidRPr="00EF7F15">
              <w:rPr>
                <w:rFonts w:ascii="Times New Roman" w:eastAsia="Times New Roman" w:hAnsi="Times New Roman" w:cs="Times New Roman"/>
                <w:sz w:val="21"/>
                <w:szCs w:val="21"/>
              </w:rPr>
              <w:t>2023</w:t>
            </w:r>
          </w:p>
        </w:tc>
      </w:tr>
      <w:tr w:rsidR="009B15AB" w14:paraId="761990F5" w14:textId="77777777" w:rsidTr="00D5374B">
        <w:tc>
          <w:tcPr>
            <w:tcW w:w="10910" w:type="dxa"/>
            <w:gridSpan w:val="3"/>
          </w:tcPr>
          <w:p w14:paraId="591AD912" w14:textId="77777777" w:rsidR="009B15AB" w:rsidRPr="006A0C94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that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the popular decomposition approach to solving MDPs with CVaR and EVaR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 is suboptimal despite the claims to the contrary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which assumed it to be correct and optimal for a decade</w:t>
            </w:r>
            <w:r w:rsidRPr="00EF7F1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6378CAEE" w14:textId="77777777" w:rsidR="009B15AB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Illustrated previous EVaR decomposition is incorrect and proposed a correct EVaR risk level decomposition for </w:t>
            </w:r>
            <w:r w:rsidRPr="00294DA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evaluation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E65E547" w14:textId="6EE1B20F" w:rsidR="009B15AB" w:rsidRPr="009B15AB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Showed that unlike CVaR and EVaR for </w:t>
            </w:r>
            <w:r w:rsidRPr="009B15A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optimization</w:t>
            </w:r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>, VaR decomposition does not suffer from saddle-point gap thus is optimal.</w:t>
            </w:r>
          </w:p>
        </w:tc>
      </w:tr>
      <w:tr w:rsidR="009B15AB" w14:paraId="0BD3C85F" w14:textId="77777777" w:rsidTr="00D5374B">
        <w:tc>
          <w:tcPr>
            <w:tcW w:w="9067" w:type="dxa"/>
            <w:gridSpan w:val="2"/>
          </w:tcPr>
          <w:p w14:paraId="24387350" w14:textId="77777777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AC94C3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D272254" w14:textId="77777777" w:rsidTr="00D5374B">
        <w:tc>
          <w:tcPr>
            <w:tcW w:w="9067" w:type="dxa"/>
            <w:gridSpan w:val="2"/>
          </w:tcPr>
          <w:p w14:paraId="1D6CC262" w14:textId="0E63DE4F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</w:tcPr>
          <w:p w14:paraId="7069FD4B" w14:textId="33BF90AE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9B15AB" w14:paraId="2D5E98B2" w14:textId="77777777" w:rsidTr="00D5374B">
        <w:tc>
          <w:tcPr>
            <w:tcW w:w="10910" w:type="dxa"/>
            <w:gridSpan w:val="3"/>
          </w:tcPr>
          <w:p w14:paraId="5D14B98C" w14:textId="5A8A5F62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92555DA" w14:textId="05F3BFEE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762E2B4" w14:textId="72EB16CD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6EA0E42E" w14:textId="17300F70" w:rsidR="009B15AB" w:rsidRPr="00297673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9B15AB" w14:paraId="7E735ADE" w14:textId="77777777" w:rsidTr="00D5374B">
        <w:tc>
          <w:tcPr>
            <w:tcW w:w="9067" w:type="dxa"/>
            <w:gridSpan w:val="2"/>
          </w:tcPr>
          <w:p w14:paraId="2114B25E" w14:textId="77777777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B817D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5747755" w14:textId="77777777" w:rsidTr="00D5374B">
        <w:tc>
          <w:tcPr>
            <w:tcW w:w="9067" w:type="dxa"/>
            <w:gridSpan w:val="2"/>
          </w:tcPr>
          <w:p w14:paraId="2A71FB46" w14:textId="522F45EB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71C17362" w14:textId="14B142FE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9B15AB" w14:paraId="0F6DD224" w14:textId="77777777" w:rsidTr="00D5374B">
        <w:tc>
          <w:tcPr>
            <w:tcW w:w="10910" w:type="dxa"/>
            <w:gridSpan w:val="3"/>
          </w:tcPr>
          <w:p w14:paraId="3B7C631D" w14:textId="77777777" w:rsidR="009B15AB" w:rsidRDefault="009B15AB" w:rsidP="009B15A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4800C8A" w14:textId="40A95706" w:rsidR="009B15AB" w:rsidRPr="00715403" w:rsidRDefault="009B15AB" w:rsidP="009B15A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6B5945" w14:paraId="1C0B06E3" w14:textId="77777777" w:rsidTr="00D5374B">
        <w:tc>
          <w:tcPr>
            <w:tcW w:w="9067" w:type="dxa"/>
            <w:gridSpan w:val="2"/>
          </w:tcPr>
          <w:p w14:paraId="31894A67" w14:textId="77777777" w:rsidR="006B5945" w:rsidRPr="002261C2" w:rsidRDefault="006B5945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AF820B0" w14:textId="77777777" w:rsidR="006B5945" w:rsidRDefault="006B5945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15DBB705" w14:textId="77777777" w:rsidTr="00D5374B">
        <w:tc>
          <w:tcPr>
            <w:tcW w:w="9067" w:type="dxa"/>
            <w:gridSpan w:val="2"/>
          </w:tcPr>
          <w:p w14:paraId="761A5EDA" w14:textId="328532A2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6CB5CF39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83A7E" w14:paraId="21BA9064" w14:textId="77777777" w:rsidTr="00D5374B">
        <w:tc>
          <w:tcPr>
            <w:tcW w:w="10910" w:type="dxa"/>
            <w:gridSpan w:val="3"/>
          </w:tcPr>
          <w:p w14:paraId="571D7FBE" w14:textId="77C6A34C" w:rsidR="00283A7E" w:rsidRDefault="00283A7E" w:rsidP="00283A7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Programming 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</w:t>
            </w:r>
            <w:r w:rsidRPr="00F02E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Python, R, Julia, C/C++, </w:t>
            </w:r>
            <w:r w:rsidRPr="00F02E49">
              <w:rPr>
                <w:rFonts w:ascii="Times New Roman" w:eastAsia="Times New Roman" w:hAnsi="Times New Roman" w:cs="Times New Roman"/>
                <w:sz w:val="18"/>
                <w:szCs w:val="18"/>
              </w:rPr>
              <w:t>SQL,</w:t>
            </w:r>
            <w:r w:rsidRPr="00F02E49">
              <w:rPr>
                <w:sz w:val="20"/>
                <w:szCs w:val="20"/>
              </w:rPr>
              <w:t xml:space="preserve"> </w:t>
            </w:r>
            <w:r w:rsidRPr="00F02E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MATLAB, </w:t>
            </w:r>
            <w:r w:rsidRPr="00F02E49">
              <w:rPr>
                <w:rFonts w:ascii="Times New Roman" w:eastAsia="Times New Roman" w:hAnsi="Times New Roman" w:cs="Times New Roman"/>
                <w:sz w:val="18"/>
                <w:szCs w:val="18"/>
              </w:rPr>
              <w:t>HTML, CSS, JavaScript, XML, Java</w:t>
            </w:r>
          </w:p>
        </w:tc>
      </w:tr>
      <w:tr w:rsidR="00283A7E" w14:paraId="48226C42" w14:textId="77777777" w:rsidTr="00D5374B">
        <w:tc>
          <w:tcPr>
            <w:tcW w:w="10910" w:type="dxa"/>
            <w:gridSpan w:val="3"/>
          </w:tcPr>
          <w:p w14:paraId="6C81BC51" w14:textId="0F86832F" w:rsidR="00283A7E" w:rsidRDefault="00283A7E" w:rsidP="00283A7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F02E4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OpenGL, </w:t>
            </w:r>
            <w:r w:rsidR="006B5945" w:rsidRPr="00F02E4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Tensorflow, </w:t>
            </w:r>
            <w:r w:rsidRPr="00F02E49">
              <w:rPr>
                <w:rFonts w:ascii="Times New Roman" w:eastAsia="Times New Roman" w:hAnsi="Times New Roman" w:cs="Times New Roman"/>
                <w:sz w:val="18"/>
                <w:szCs w:val="18"/>
              </w:rPr>
              <w:t>PyTorch, Numpy,</w:t>
            </w:r>
            <w:r w:rsidR="006F4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PySpark,</w:t>
            </w:r>
            <w:r w:rsidRPr="00F02E4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Scikit-learn, Caret, Git, Excel, ERDPlus, Tableau, PowerBI, AWS</w:t>
            </w:r>
          </w:p>
        </w:tc>
      </w:tr>
      <w:tr w:rsidR="00F02E49" w14:paraId="512E1EF4" w14:textId="77777777" w:rsidTr="00D5374B">
        <w:tc>
          <w:tcPr>
            <w:tcW w:w="10910" w:type="dxa"/>
            <w:gridSpan w:val="3"/>
          </w:tcPr>
          <w:p w14:paraId="32ADD0C0" w14:textId="6E140CFC" w:rsidR="00F02E49" w:rsidRDefault="00F02E49" w:rsidP="00283A7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F02E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Reinforcement Learning, Machine Learning, Forecasting Analysis, Numerical Methods,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Linear Algebra, Differential Equation,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Multi-Dimensional Calculus, Econometrics, Probability Theory, Statistical Inference, Financial Mathematics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</w:tbl>
    <w:p w14:paraId="6F1957D0" w14:textId="00EBA275" w:rsidR="00260656" w:rsidRPr="002234DA" w:rsidRDefault="00260656" w:rsidP="002234DA">
      <w:pPr>
        <w:rPr>
          <w:sz w:val="2"/>
          <w:szCs w:val="2"/>
        </w:rPr>
      </w:pPr>
    </w:p>
    <w:sectPr w:rsidR="00260656" w:rsidRPr="002234DA" w:rsidSect="001C51CB">
      <w:pgSz w:w="12240" w:h="15840"/>
      <w:pgMar w:top="720" w:right="680" w:bottom="720" w:left="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56F1E"/>
    <w:multiLevelType w:val="hybridMultilevel"/>
    <w:tmpl w:val="4EB4D1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4521A"/>
    <w:multiLevelType w:val="hybridMultilevel"/>
    <w:tmpl w:val="08C4A3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A4CC9"/>
    <w:multiLevelType w:val="hybridMultilevel"/>
    <w:tmpl w:val="DB4C882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22898">
    <w:abstractNumId w:val="2"/>
  </w:num>
  <w:num w:numId="2" w16cid:durableId="72895424">
    <w:abstractNumId w:val="3"/>
  </w:num>
  <w:num w:numId="3" w16cid:durableId="848324807">
    <w:abstractNumId w:val="4"/>
  </w:num>
  <w:num w:numId="4" w16cid:durableId="222525037">
    <w:abstractNumId w:val="8"/>
  </w:num>
  <w:num w:numId="5" w16cid:durableId="1510221631">
    <w:abstractNumId w:val="7"/>
  </w:num>
  <w:num w:numId="6" w16cid:durableId="358357303">
    <w:abstractNumId w:val="0"/>
  </w:num>
  <w:num w:numId="7" w16cid:durableId="152109293">
    <w:abstractNumId w:val="1"/>
  </w:num>
  <w:num w:numId="8" w16cid:durableId="290987328">
    <w:abstractNumId w:val="5"/>
  </w:num>
  <w:num w:numId="9" w16cid:durableId="1997684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021111"/>
    <w:rsid w:val="00024BE6"/>
    <w:rsid w:val="00032A0B"/>
    <w:rsid w:val="00134ECE"/>
    <w:rsid w:val="0017283F"/>
    <w:rsid w:val="00174DF2"/>
    <w:rsid w:val="001A01AE"/>
    <w:rsid w:val="001C51CB"/>
    <w:rsid w:val="00213F93"/>
    <w:rsid w:val="002234DA"/>
    <w:rsid w:val="002261C2"/>
    <w:rsid w:val="00232CED"/>
    <w:rsid w:val="002366A2"/>
    <w:rsid w:val="00243441"/>
    <w:rsid w:val="00260656"/>
    <w:rsid w:val="00283A7E"/>
    <w:rsid w:val="00294693"/>
    <w:rsid w:val="00294DAE"/>
    <w:rsid w:val="00297673"/>
    <w:rsid w:val="002A2B6C"/>
    <w:rsid w:val="002A4858"/>
    <w:rsid w:val="002D1820"/>
    <w:rsid w:val="002E6561"/>
    <w:rsid w:val="002F5420"/>
    <w:rsid w:val="002F799C"/>
    <w:rsid w:val="0034061F"/>
    <w:rsid w:val="00342D0A"/>
    <w:rsid w:val="00372277"/>
    <w:rsid w:val="003A18DE"/>
    <w:rsid w:val="003A5F03"/>
    <w:rsid w:val="004D1B83"/>
    <w:rsid w:val="004E16CE"/>
    <w:rsid w:val="004E6023"/>
    <w:rsid w:val="00513378"/>
    <w:rsid w:val="00530218"/>
    <w:rsid w:val="00547809"/>
    <w:rsid w:val="00553354"/>
    <w:rsid w:val="00573F84"/>
    <w:rsid w:val="005B4E87"/>
    <w:rsid w:val="005B71D7"/>
    <w:rsid w:val="005E05B0"/>
    <w:rsid w:val="005E33D1"/>
    <w:rsid w:val="005E5946"/>
    <w:rsid w:val="006046D1"/>
    <w:rsid w:val="0062745C"/>
    <w:rsid w:val="006403A0"/>
    <w:rsid w:val="006805C5"/>
    <w:rsid w:val="006911A6"/>
    <w:rsid w:val="006A0C94"/>
    <w:rsid w:val="006B5945"/>
    <w:rsid w:val="006D5642"/>
    <w:rsid w:val="006F4789"/>
    <w:rsid w:val="00711DB4"/>
    <w:rsid w:val="00715403"/>
    <w:rsid w:val="00723AC9"/>
    <w:rsid w:val="00723D21"/>
    <w:rsid w:val="007C10EB"/>
    <w:rsid w:val="007C72B5"/>
    <w:rsid w:val="007D1997"/>
    <w:rsid w:val="007F2618"/>
    <w:rsid w:val="007F4AF7"/>
    <w:rsid w:val="00830A42"/>
    <w:rsid w:val="00871516"/>
    <w:rsid w:val="008D31BE"/>
    <w:rsid w:val="008D6089"/>
    <w:rsid w:val="008F052E"/>
    <w:rsid w:val="008F23C9"/>
    <w:rsid w:val="00953DC1"/>
    <w:rsid w:val="009631C3"/>
    <w:rsid w:val="00980C9B"/>
    <w:rsid w:val="009B15AB"/>
    <w:rsid w:val="009F0F01"/>
    <w:rsid w:val="00A7430E"/>
    <w:rsid w:val="00A977B9"/>
    <w:rsid w:val="00AA007B"/>
    <w:rsid w:val="00AA546C"/>
    <w:rsid w:val="00AD0A81"/>
    <w:rsid w:val="00B221B9"/>
    <w:rsid w:val="00B75DD6"/>
    <w:rsid w:val="00B91F17"/>
    <w:rsid w:val="00BB61FB"/>
    <w:rsid w:val="00BF2022"/>
    <w:rsid w:val="00C00CE3"/>
    <w:rsid w:val="00C20A5F"/>
    <w:rsid w:val="00C578F1"/>
    <w:rsid w:val="00D5374B"/>
    <w:rsid w:val="00DA694D"/>
    <w:rsid w:val="00DD5FF6"/>
    <w:rsid w:val="00E3634E"/>
    <w:rsid w:val="00E85912"/>
    <w:rsid w:val="00E86DA6"/>
    <w:rsid w:val="00EB63DB"/>
    <w:rsid w:val="00EE1B0F"/>
    <w:rsid w:val="00EE3EF5"/>
    <w:rsid w:val="00EE508B"/>
    <w:rsid w:val="00EF7F15"/>
    <w:rsid w:val="00F02E49"/>
    <w:rsid w:val="00F10682"/>
    <w:rsid w:val="00F61E3E"/>
    <w:rsid w:val="00F62387"/>
    <w:rsid w:val="00F75CBE"/>
    <w:rsid w:val="00F90CD5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5" Type="http://schemas.openxmlformats.org/officeDocument/2006/relationships/hyperlink" Target="mailto:jialin.ha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72</cp:revision>
  <cp:lastPrinted>2023-09-19T13:13:00Z</cp:lastPrinted>
  <dcterms:created xsi:type="dcterms:W3CDTF">2023-02-28T18:22:00Z</dcterms:created>
  <dcterms:modified xsi:type="dcterms:W3CDTF">2024-08-29T14:02:00Z</dcterms:modified>
</cp:coreProperties>
</file>