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## Answer: **(B)**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Reasoning: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**Option (A)** is incorrect. There is no basis for claiming the researcher is misinterpreting results. A properly conducted significance test yielding a non-significant result is a valid outcome and should not be dismissed outright.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**Option (C)** is incorrect. **Failing to reject the null hypothesis is not the same as proving the null hypothesis is true.** A non-significant result does not *prove* there is no effect — it only indicates insufficient evidence to conclude there is one. This is a fundamental principle in frequentist hypothesis testing.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**Option (B) is correct.** With only 60 fish (split between two groups, so roughly 30 per group), the study may have **insufficient statistical power** to detect a true effect if one exists. A small sample size increases the probability of a **Type II error** (failing to reject a false null hypothesis). The note that "fish in the treatment group showed higher levels of the indicator enzyme" suggests there *may* be a real effect, but the sample may be underpowered to detect it at a statistically significant level.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Key Principle:</w:t>
      </w:r>
    </w:p>
    <w:p>
      <w:pPr>
        <w:pStyle w:val="Normal"/>
      </w:pPr>
      <w:r>
        <w:t xml:space="preserve">&gt; A non-significant result tells us we lack sufficient evidence for an effect — **not** that no effect exists. Power and sample size are critical considerations in interpreting null results.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**Answer: (B)**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2026-04-15T10:33:02Z</dcterms:modified>
  <cp:category/>
</cp:coreProperties>
</file>