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Answer: **(B) To show the effect sizes that are most compatible with the data under the given model**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Reasoning: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question tests conceptual understanding of confidence intervals beyond their mechanical use.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**Why (B) is correct:**</w:t>
      </w:r>
    </w:p>
    <w:p>
      <w:pPr>
        <w:pStyle w:val="Normal"/>
      </w:pPr>
      <w:r>
        <w:t xml:space="preserve">A confidence interval, properly interpreted, displays the **range of parameter values most compatible with the observed data** given the assumed model. This framing (associated with statisticians like Greenland and Rafi) emphasizes that CIs convey **information about plausible effect sizes** — their location, width, and what values fall inside vs. outside all carry meaning. This is the richest and most statistically sound interpretation.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**Why the others are wrong:**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**(A)** — While CIs do convey uncertainty, calling them "just another p-value" is reductive and misleading. They provide **substantially more information** than a single p-value (magnitude, direction, precision).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**(C)** — This is the **most common misuse**: treating a CI as a binary hypothesis test by checking whether the null falls inside/outside. This collapses the CI back into a p-value threshold and loses all the quantitative information about effect size compatibility. This is explicitly discouraged in modern statistical practice.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**(D)** — Dismissing CIs entirely is too extreme. When interpreted correctly (as in B), they are genuinely more informative than p-values alone.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**The key insight:** CIs should *add* information about effect sizes and their uncertainty — not simply replace p-value thinking with equivalent binary logic.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(B)**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2026-04-15T09:48:10Z</dcterms:modified>
  <cp:category/>
</cp:coreProperties>
</file>