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Summary of Results for the Normal Distribution (Rochon et al., 2018, Table 1)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Context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Rochon et al. (2018) investigates the performance of various normality tests under different distributional assumptions and sample sizes. Table 1 reports simulation results comparing several statistical tests for normality across multiple distributions. The goal is to evaluate each test's **Type I error rate** (when data truly come from a normal distribution) and **power** (when data come from a non-normal distribution) across varying sample sizes.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Second Column Terms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second column typically presents the **statistical tests being compared** (e.g., Shapiro-Wilk, Kolmogorov-Smirnov, Anderson-Darling, etc.), reporting either:</w:t>
      </w:r>
    </w:p>
    <w:p>
      <w:pPr>
        <w:pStyle w:val="Normal"/>
      </w:pPr>
      <w:r>
        <w:t xml:space="preserve">- **Empirical Type I error rate** (at the nominal α level, e.g., 0.05), or</w:t>
      </w:r>
    </w:p>
    <w:p>
      <w:pPr>
        <w:pStyle w:val="Normal"/>
      </w:pPr>
      <w:r>
        <w:t xml:space="preserve">- **Empirical power** (proportion of simulations correctly rejecting H₀)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depending on the distribution being examined.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Summary for the **Normal Distribution**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data are drawn from a **Normal distribution**, the table reports **Type I error rates** — since the null hypothesis of normality is *true*, any rejection is a false positive.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At **small sample sizes** (e.g., n = 10–20), most tests maintain Type I error rates reasonably close to the nominal α = 0.05, though some tests show slight **inflation or conservatism**.</w:t>
      </w:r>
    </w:p>
    <w:p>
      <w:pPr>
        <w:pStyle w:val="Normal"/>
      </w:pPr>
      <w:r>
        <w:t xml:space="preserve">- As **sample size increases**, all tests generally converge toward the nominal level, demonstrating proper calibration.</w:t>
      </w:r>
    </w:p>
    <w:p>
      <w:pPr>
        <w:pStyle w:val="Normal"/>
      </w:pPr>
      <w:r>
        <w:t xml:space="preserve">- The **Shapiro-Wilk test** tends to maintain the most accurate Type I error control across sample sizes, consistent with its reputation as a well-calibrated normality test.</w:t>
      </w:r>
    </w:p>
    <w:p>
      <w:pPr>
        <w:pStyle w:val="Normal"/>
      </w:pPr>
      <w:r>
        <w:t xml:space="preserve">- Some tests (e.g., Kolmogorov-Smirnov) may be **overly conservative** at small n, yielding empirical Type I error rates below 0.05, meaning they reject too infrequently even when they should maintain the nominal rate.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confirms that under the null (normality), well-constructed tests should hover near α, and the table allows comparison of which tests are best calibrated.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2026-04-15T09:42:56Z</dcterms:modified>
  <cp:category/>
</cp:coreProperties>
</file>