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statement as a graduate statistics student, I need to evaluate whether the conclusion is statistically sound.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 makes two claims:</w:t>
      </w:r>
    </w:p>
    <w:p>
      <w:pPr>
        <w:pStyle w:val="Normal"/>
      </w:pPr>
      <w:r>
        <w:t xml:space="preserve">1. The average time for the new formula is lower than the old formula</w:t>
      </w:r>
    </w:p>
    <w:p>
      <w:pPr>
        <w:pStyle w:val="Normal"/>
      </w:pPr>
      <w:r>
        <w:t xml:space="preserve">2. People taking the new formula will tend to feel relief about 20 minutes sooner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**Issues with this conclusion:**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**Lack of statistical testing**: From the dot plots alone, while there appears to be a difference in distributions, we cannot definitively conclude there is a statistically significant difference in means without proper hypothesis testing (t-test, confidence intervals, p-values, etc.).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**Imprecise quantification**: The "about 20 minutes" claim appears to be a rough visual estimate from the dot plots. Without calculating actual sample means and their difference, this is not a rigorous statistical conclusion.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**No consideration of variability**: The statement ignores sampling variability and doesn't account for the uncertainty in the estimate of the difference.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**Causal language**: While this was a randomized experiment (so causal inference is appropriate), the conclusion lacks the proper statistical rigor expected at the graduate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5. **Missing statistical inference**: There's no mention of confidence intervals, effect sizes, or practical significance - just a point estimate based on visual inspection.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valid conclusion would require: calculating sample statistics, performing appropriate hypothesis tests, constructing confidence intervals for the difference in means, and discussing both statistical and practical significance.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Not 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conclusion lacks the statistical rigor and proper inference procedures required to make such a definitive claim.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2026-04-13T16:14:30Z</dcterms:modified>
  <cp:category/>
</cp:coreProperties>
</file>