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null hypothesis H₀: F(z) = G(z) is equivalent to testing whether the data are randomly sampled because of how the runs test is constructed and what it measures.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the runs test, we typically have a sequence of observations that we convert into a binary sequence (e.g., above/below median, or comparing two samples). Under H₀: F(z) = G(z), both groups of observations come from the same distribution, which means: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**Equal probability of each outcome**: When F = G, each observation has the same probability of being classified into either category, regardless of its position in the sequence.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**Independence assumption**: If the data are randomly sampled, the classification of each observation (run type) should be independent of the classifications of neighboring observations.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**Random arrangement**: When F = G and observations are randomly sampled, we expect the sequence of runs to follow a random pattern. Too few runs suggest systematic clustering or trend, while too many runs might indicate systematic alternation.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insight is that if H₀ is true AND the data are randomly sampled, then the number and length of runs should follow a predictable distribution. Departures from this expected distribution indicate either:</w:t>
      </w:r>
    </w:p>
    <w:p>
      <w:pPr>
        <w:pStyle w:val="Normal"/>
      </w:pPr>
      <w:r>
        <w:t xml:space="preserve">- The distributions are different (F ≠ G), OR  </w:t>
      </w:r>
    </w:p>
    <w:p>
      <w:pPr>
        <w:pStyle w:val="Normal"/>
      </w:pPr>
      <w:r>
        <w:t xml:space="preserve">- The sampling process is not random (systematic patterns exist)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runs test specifically tests the randomness of the sequence pattern while assuming we're testing F = G, rejecting H₀ provides evidence against random sampling when we believe the distributions should be equal.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2026-04-13T15:15:10Z</dcterms:modified>
  <cp:category/>
</cp:coreProperties>
</file>