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Rationale: The student's conclusion that the old formula works better is not valid based on the provided dot plots. While it is true that two individuals in the "old" group experienced relief in under 20 minutes, this is a very small proportion of the 150 individuals in that group. Conversely, the "new" formula group has a cluster of responses around 50-60 minutes, suggesting faster relief for a larger number of people. The presence of a few outliers (e.g., near 120 minutes in the "new" group) does not negate the overall trend suggested by the bulk of the data. To properly compare the effectiveness, statistical measures such as the mean, median, and standard deviation, or hypothesis testing, would be necessary. Drawing conclusions based on only two data points and the maximum observed time is not statistically sound.</w:t>
      </w:r>
    </w:p>
    <w:p>
      <w:pPr>
        <w:pStyle w:val="Normal"/>
      </w:pPr>
      <w:r>
        <w:t xml:space="preserve"/>
      </w:r>
    </w:p>
    <w:p>
      <w:pPr>
        <w:pStyle w:val="Normal"/>
      </w:pPr>
      <w:r>
        <w:t xml:space="preserve">The final answer is $\boxed{B}$.</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mlangstonsmith</cp:lastModifiedBy>
  <cp:revision>9</cp:revision>
  <dcterms:created xsi:type="dcterms:W3CDTF">2017-02-28T11:18:00Z</dcterms:created>
  <dcterms:modified xsi:type="dcterms:W3CDTF">2026-04-17T09:32:20Z</dcterms:modified>
  <cp:category/>
</cp:coreProperties>
</file>