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causal inference**.</w:t>
      </w:r>
    </w:p>
    <w:p>
      <w:pPr>
        <w:pStyle w:val="Normal"/>
      </w:pPr>
      <w:r>
        <w:t xml:space="preserve"/>
      </w:r>
    </w:p>
    <w:p>
      <w:pPr>
        <w:pStyle w:val="Normal"/>
      </w:pPr>
      <w:r>
        <w:t xml:space="preserve">**Reasoning:**</w:t>
      </w:r>
    </w:p>
    <w:p>
      <w:pPr>
        <w:pStyle w:val="Normal"/>
      </w:pPr>
      <w:r>
        <w:t xml:space="preserve"/>
      </w:r>
    </w:p>
    <w:p>
      <w:pPr>
        <w:pStyle w:val="Normal"/>
      </w:pPr>
      <w:r>
        <w:t xml:space="preserve">In experimental design, the primary function of random assignment is to ensure that treatment groups are, on average, balanced across all measured and unmeasured baseline covariates. By mitigating selection bias and confounding, random assignment allows the researcher to isolate the effect of the treatment variable on the outcome, thereby enabling **causal inference**.</w:t>
      </w:r>
    </w:p>
    <w:p>
      <w:pPr>
        <w:pStyle w:val="Normal"/>
      </w:pPr>
      <w:r>
        <w:t xml:space="preserve"/>
      </w:r>
    </w:p>
    <w:p>
      <w:pPr>
        <w:pStyle w:val="Normal"/>
      </w:pPr>
      <w:r>
        <w:t xml:space="preserve">It is critical to distinguish this from **population inference** (generalizability or external validity), which is achieved through **random sampling** from a target population. While a Randomized Controlled Trial (RCT) provides strong internal validity, if the experimental units were not randomly selected from a specific population (e.g., if they were volunteers), one cannot necessarily generalize the findings to that population. </w:t>
      </w:r>
    </w:p>
    <w:p>
      <w:pPr>
        <w:pStyle w:val="Normal"/>
      </w:pPr>
      <w:r>
        <w:t xml:space="preserve"/>
      </w:r>
    </w:p>
    <w:p>
      <w:pPr>
        <w:pStyle w:val="Normal"/>
      </w:pPr>
      <w:r>
        <w:t xml:space="preserve">Therefore, random assignment addresses the internal validity required for (B), but does not independently satisfy the requirements for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2026-04-16T16:42:14Z</dcterms:modified>
  <cp:category/>
</cp:coreProperties>
</file>