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**(D) Type 2 error**.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**Statistical Reasoning:**</w:t>
      </w:r>
    </w:p>
    <w:p>
      <w:pPr>
        <w:pStyle w:val="Normal"/>
      </w:pPr>
      <w:r>
        <w:t xml:space="preserve">In hypothesis testing, we define the outcomes based on the relationship between our decision and the true state of nature regarding the null hypothesis ($H_0$):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**Type 1 Error ($\alpha$):** This occurs when we reject a true null hypothesis (a "false positive").</w:t>
      </w:r>
    </w:p>
    <w:p>
      <w:pPr>
        <w:pStyle w:val="Normal"/>
      </w:pPr>
      <w:r>
        <w:t xml:space="preserve">*   **Type 2 Error ($\beta$):** This occurs when we fail to reject a false null hypothesis (a "false negative").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prompt specifies failing to reject the null hypothesis when it is actually false, it describes the definition of a Type 2 error, denoted by the Greek letter $\beta$.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2026-04-16T16:40:10Z</dcterms:modified>
  <cp:category/>
</cp:coreProperties>
</file>