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**(A) population inference**.</w:t>
      </w:r>
    </w:p>
    <w:p>
      <w:pPr>
        <w:pStyle w:val="Normal"/>
      </w:pPr>
      <w:r>
        <w:t xml:space="preserve"/>
      </w:r>
    </w:p>
    <w:p>
      <w:pPr>
        <w:pStyle w:val="Normal"/>
      </w:pPr>
      <w:r>
        <w:t xml:space="preserve">**Reasoning:**</w:t>
      </w:r>
    </w:p>
    <w:p>
      <w:pPr>
        <w:pStyle w:val="Normal"/>
      </w:pPr>
      <w:r>
        <w:t xml:space="preserve"/>
      </w:r>
    </w:p>
    <w:p>
      <w:pPr>
        <w:pStyle w:val="Normal"/>
      </w:pPr>
      <w:r>
        <w:t xml:space="preserve">In statistical methodology, the distinction between observational studies and randomized experiments is fundamental to the scope of inference.</w:t>
      </w:r>
    </w:p>
    <w:p>
      <w:pPr>
        <w:pStyle w:val="Normal"/>
      </w:pPr>
      <w:r>
        <w:t xml:space="preserve"/>
      </w:r>
    </w:p>
    <w:p>
      <w:pPr>
        <w:pStyle w:val="Normal"/>
      </w:pPr>
      <w:r>
        <w:t xml:space="preserve">1.  **Population Inference:** Observational studies (such as surveys or registry-based cohort studies) are frequently designed using probability sampling techniques. Provided the sample is representative of the target population, these studies allow for valid **population inference**—that is, generalizing findings from the sample to the broader population from which it was drawn.</w:t>
      </w:r>
    </w:p>
    <w:p>
      <w:pPr>
        <w:pStyle w:val="Normal"/>
      </w:pPr>
      <w:r>
        <w:t xml:space="preserve">2.  **Causal Inference:** The gold standard for **causal inference** is the randomized controlled trial (RCT). In an RCT, random assignment balances both observed and unobserved potential confounders between treatment groups, allowing the researcher to attribute differences in outcomes to the intervention itself. In contrast, observational studies lack this mechanism of random assignment. While sophisticated econometric and statistical techniques (e.g., propensity score matching, instrumental variables, or difference-in-differences) can be used to mitigate bias and approximate causal effects, they generally rely on untestable identifying assumptions (such as "unconfoundedness" or "ignorability"). Therefore, observational studies are fundamentally limited in their ability to establish causality compared to randomized experiments.</w:t>
      </w:r>
    </w:p>
    <w:p>
      <w:pPr>
        <w:pStyle w:val="Normal"/>
      </w:pPr>
      <w:r>
        <w:t xml:space="preserve"/>
      </w:r>
    </w:p>
    <w:p>
      <w:pPr>
        <w:pStyle w:val="Normal"/>
      </w:pPr>
      <w:r>
        <w:t xml:space="preserve">Given the standard pedagogical distinction in statistics, observational studies are classified as tools for describing populations and associations, while randomized experiments are the tools for establishing causality. Thus, (A) is the most accurate choice.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2026-04-16T16:52:38Z</dcterms:modified>
  <cp:category/>
</cp:coreProperties>
</file>