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sensitivity of the blood test, we evaluate the test's ability to correctly identify individuals who truly have the condition (Bowel cancer = Y).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Sensitivity is defined as the proportion of true positives among all those who have the disease, expressed by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$$\text{Sensitivity} = \frac{\text{True Positives (TP)}}{\text{Total Positives with Disease (TP + FN)}}$$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provided contingency table:</w:t>
      </w:r>
    </w:p>
    <w:p>
      <w:pPr>
        <w:pStyle w:val="Normal"/>
      </w:pPr>
      <w:r>
        <w:t xml:space="preserve">*   **True Positives (TP)**, where the test is positive (+) and cancer is present (Y) = **2**</w:t>
      </w:r>
    </w:p>
    <w:p>
      <w:pPr>
        <w:pStyle w:val="Normal"/>
      </w:pPr>
      <w:r>
        <w:t xml:space="preserve">*   **False Negatives (FN)**, where the test is negative (−) and cancer is present (Y) = **1**</w:t>
      </w:r>
    </w:p>
    <w:p>
      <w:pPr>
        <w:pStyle w:val="Normal"/>
      </w:pPr>
      <w:r>
        <w:t xml:space="preserve">*   **Total individuals with disease (TP + FN)** = 2 + 1 = **3**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Substituting these values into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$$\text{Sensitivity} = \frac{2}{2 + 1} = \frac{2}{3}$$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**Sensitivity $\approx 0.667$ (or $66.7\%$)**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2026-04-16T16:26:16Z</dcterms:modified>
  <cp:category/>
</cp:coreProperties>
</file>