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**(B) Not Valid.**</w:t>
      </w:r>
    </w:p>
    <w:p>
      <w:pPr>
        <w:pStyle w:val="Normal"/>
      </w:pPr>
      <w:r>
        <w:t xml:space="preserve"/>
      </w:r>
    </w:p>
    <w:p>
      <w:pPr>
        <w:pStyle w:val="Normal"/>
      </w:pPr>
      <w:r>
        <w:t xml:space="preserve">**Statistical Reasoning:**</w:t>
      </w:r>
    </w:p>
    <w:p>
      <w:pPr>
        <w:pStyle w:val="Normal"/>
      </w:pPr>
      <w:r>
        <w:t xml:space="preserve"/>
      </w:r>
    </w:p>
    <w:p>
      <w:pPr>
        <w:pStyle w:val="Normal"/>
      </w:pPr>
      <w:r>
        <w:t xml:space="preserve">A high-quality statistical evaluation requires looking at the central tendency and overall distribution of the data rather than focusing exclusively on outliers or extreme values.</w:t>
      </w:r>
    </w:p>
    <w:p>
      <w:pPr>
        <w:pStyle w:val="Normal"/>
      </w:pPr>
      <w:r>
        <w:t xml:space="preserve"/>
      </w:r>
    </w:p>
    <w:p>
      <w:pPr>
        <w:pStyle w:val="Normal"/>
      </w:pPr>
      <w:r>
        <w:t xml:space="preserve">1.  **Reliance on Anecdotal/Extreme Data:** The student's conclusion is based on cherry-picked observations (the two fastest results in the old group and the single slowest result in the new group). Evaluating the effectiveness of a medication requires comparing the distributions as a whole, typically by looking at the medians or means.</w:t>
      </w:r>
    </w:p>
    <w:p>
      <w:pPr>
        <w:pStyle w:val="Normal"/>
      </w:pPr>
      <w:r>
        <w:t xml:space="preserve">2.  **Comparison of Distributions:** Upon visual inspection of the dot plots, it is clear that the "new" group is shifted significantly to the left of the "old" group. The bulk of the data points for the new medication are clustered between approximately 40 and 60 minutes, whereas the bulk of the data for the old medication is clustered between approximately 60 and 90 minutes.</w:t>
      </w:r>
    </w:p>
    <w:p>
      <w:pPr>
        <w:pStyle w:val="Normal"/>
      </w:pPr>
      <w:r>
        <w:t xml:space="preserve">3.  **General Performance:** While the old formula may have had a few patients reach relief very quickly, the **median time to relief** for the new formula is substantially lower than that of the old formula. Therefore, the new formula is generally more effective for the typical patient, rendering the student's conclusion that the "old formula works better" statistically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2026-04-16T21:50:54Z</dcterms:modified>
  <cp:category/>
</cp:coreProperties>
</file>