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**(B) Not Valid.**</w:t>
      </w:r>
    </w:p>
    <w:p>
      <w:pPr>
        <w:pStyle w:val="Normal"/>
      </w:pPr>
      <w:r>
        <w:t xml:space="preserve"/>
      </w:r>
    </w:p>
    <w:p>
      <w:pPr>
        <w:pStyle w:val="Normal"/>
      </w:pPr>
      <w:r>
        <w:t xml:space="preserve">**Reasoning:**</w:t>
      </w:r>
    </w:p>
    <w:p>
      <w:pPr>
        <w:pStyle w:val="Normal"/>
      </w:pPr>
      <w:r>
        <w:t xml:space="preserve">In statistical analysis, it is a common misconception that group sizes must be identical to perform a valid comparison. Statistical methods, such as a two-sample t-test or a Mann-Whitney U test, are specifically designed to accommodate unequal sample sizes ($n_1 \neq n_2$). These tests rely on measures of central tendency (means or medians) and variability, which are adjusted by the sample size to provide valid inferences regarding the population parameters.</w:t>
      </w:r>
    </w:p>
    <w:p>
      <w:pPr>
        <w:pStyle w:val="Normal"/>
      </w:pPr>
      <w:r>
        <w:t xml:space="preserve"/>
      </w:r>
    </w:p>
    <w:p>
      <w:pPr>
        <w:pStyle w:val="Normal"/>
      </w:pPr>
      <w:r>
        <w:t xml:space="preserve">The primary requirement for a "fair" comparison is that the groups are **randomly assigned** to minimize selection bias, which was satisfied in this study. Furthermore, the provided dot plots allow for a visual comparison of the distribution, center, and spread of the two datasets regardless of the total count in each group. As long as the assumptions for the chosen statistical test are met, the difference in $N$ does not invalidate the comparison.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2026-04-16T21:35:39Z</dcterms:modified>
  <cp:category/>
</cp:coreProperties>
</file>