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the appropriate interpretation of this scatterplot, we must perform a visual inspection of the distribution of data points and consider the potential influence of outliers.</w:t>
      </w:r>
    </w:p>
    <w:p>
      <w:pPr>
        <w:pStyle w:val="Normal"/>
      </w:pPr>
      <w:r>
        <w:t xml:space="preserve"/>
      </w:r>
    </w:p>
    <w:p>
      <w:pPr>
        <w:pStyle w:val="Normal"/>
      </w:pPr>
      <w:r>
        <w:t xml:space="preserve">1.  **Assessing the Cluster:** The majority of the observations are clustered between an anxiety level of 0 and 20. Within this cluster, there is no discernable pattern or directional trend; the points are essentially "clouded" together with no obvious slope, suggesting that, within this range, there is little to no linear relationship between the two variables.</w:t>
      </w:r>
    </w:p>
    <w:p>
      <w:pPr>
        <w:pStyle w:val="Normal"/>
      </w:pPr>
      <w:r>
        <w:t xml:space="preserve">2.  **Assessing the Outlier:** There is a single data point located at approximately $(50, 10)$. This point is a significant outlier relative to the rest of the dataset. While an outlier can drastically influence the calculation of a Pearson correlation coefficient ($r$), we must evaluate what the graph represents in its totality. Even with this influential point, the remaining bulk of the data shows no linear trend, and the outlier itself does not provide enough evidence to suggest a systematic, strong, or moderate linear relationship across the entire range of the data. </w:t>
      </w:r>
    </w:p>
    <w:p>
      <w:pPr>
        <w:pStyle w:val="Normal"/>
      </w:pPr>
      <w:r>
        <w:t xml:space="preserve">3.  **Conclusion:** A "moderate" or "strong" linear relationship would require the data to follow a more consistent trajectory. Because the central mass of the data is randomly dispersed and the relationship is not consistent across the plot, we conclude that there is a negligible linear association.</w:t>
      </w:r>
    </w:p>
    <w:p>
      <w:pPr>
        <w:pStyle w:val="Normal"/>
      </w:pPr>
      <w:r>
        <w:t xml:space="preserve"/>
      </w:r>
    </w:p>
    <w:p>
      <w:pPr>
        <w:pStyle w:val="Normal"/>
      </w:pPr>
      <w:r>
        <w:t xml:space="preserve">Therefore, the most accurate interpretation is:</w:t>
      </w:r>
    </w:p>
    <w:p>
      <w:pPr>
        <w:pStyle w:val="Normal"/>
      </w:pPr>
      <w:r>
        <w:t xml:space="preserve"/>
      </w:r>
    </w:p>
    <w:p>
      <w:pPr>
        <w:pStyle w:val="Normal"/>
      </w:pPr>
      <w:r>
        <w:t xml:space="preserve">**(C) This graph shows very little, if any, linear relationship between anxiety and achievement in science.**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2026-04-16T21:47:22Z</dcterms:modified>
  <cp:category/>
</cp:coreProperties>
</file>