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best interpretation of this result is **(A)**.</w:t>
      </w:r>
    </w:p>
    <w:p>
      <w:pPr>
        <w:pStyle w:val="Normal"/>
      </w:pPr>
      <w:r>
        <w:t xml:space="preserve"/>
      </w:r>
    </w:p>
    <w:p>
      <w:pPr>
        <w:pStyle w:val="Normal"/>
      </w:pPr>
      <w:r>
        <w:t xml:space="preserve">**Reasoning:**</w:t>
      </w:r>
    </w:p>
    <w:p>
      <w:pPr>
        <w:pStyle w:val="Normal"/>
      </w:pPr>
      <w:r>
        <w:t xml:space="preserve"/>
      </w:r>
    </w:p>
    <w:p>
      <w:pPr>
        <w:pStyle w:val="Normal"/>
      </w:pPr>
      <w:r>
        <w:t xml:space="preserve">As a graduate-level statistical analysis, we must distinguish between **observational studies** and **experimental designs**. The scenario describes a survey of randomly selected adults, which constitutes an observational study. In such a design, researchers record variables as they naturally exist without manipulating an independent variable or employing random assignment to treatment groups.</w:t>
      </w:r>
    </w:p>
    <w:p>
      <w:pPr>
        <w:pStyle w:val="Normal"/>
      </w:pPr>
      <w:r>
        <w:t xml:space="preserve"/>
      </w:r>
    </w:p>
    <w:p>
      <w:pPr>
        <w:pStyle w:val="Normal"/>
      </w:pPr>
      <w:r>
        <w:t xml:space="preserve">*   **Critique of (A):** This is the correct choice. In observational studies, we can identify associations or correlations between variables, but we cannot establish temporal precedence or rule out the influence of **confounding variables**. For example, a third variable—such as neighborhood infrastructure (availability of curbside recycling programs), education level, or access to free time—could potentially influence both income level and recycling habits. Without controlling for these factors via experimental manipulation, inferring causation is a logical fallacy (specifically, *cum hoc ergo propter hoc*).</w:t>
      </w:r>
    </w:p>
    <w:p>
      <w:pPr>
        <w:pStyle w:val="Normal"/>
      </w:pPr>
      <w:r>
        <w:t xml:space="preserve"/>
      </w:r>
    </w:p>
    <w:p>
      <w:pPr>
        <w:pStyle w:val="Normal"/>
      </w:pPr>
      <w:r>
        <w:t xml:space="preserve">*   **Critique of (B):** This is incorrect. A sample size of $n = 1,000$ is generally considered robust for a population survey in the United States. According to the Central Limit Theorem and standard power analysis, $n = 1,000$ is typically sufficient to estimate population parameters with a small margin of error (roughly $\pm 3\%$), provided the sampling method is truly random. The sample size is not the limiting factor in the internal validity of this study; the research design is.</w:t>
      </w:r>
    </w:p>
    <w:p>
      <w:pPr>
        <w:pStyle w:val="Normal"/>
      </w:pPr>
      <w:r>
        <w:t xml:space="preserve"/>
      </w:r>
    </w:p>
    <w:p>
      <w:pPr>
        <w:pStyle w:val="Normal"/>
      </w:pPr>
      <w:r>
        <w:t xml:space="preserve">*   **Critique of (C):** This is incorrect because it asserts a causal relationship ("influences"). As noted in the critique of (A), finding a statistically significant correlation is a necessary condition for exploring causal hypotheses, but it is not sufficient proof of causation. Making a definitive causal claim based on cross-sectional survey data violates fundamental principles of statistical inference regarding experimental design.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2026-04-16T21:55:10Z</dcterms:modified>
  <cp:category/>
</cp:coreProperties>
</file>