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**(A) 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**Reasoning:**</w:t>
      </w:r>
    </w:p>
    <w:p>
      <w:pPr>
        <w:pStyle w:val="Normal"/>
      </w:pPr>
      <w:r>
        <w:t xml:space="preserve">In frequentist statistics, a 95% confidence interval is defined by the process used to construct it. If we were to repeat the sampling process infinitely many times, 95% of the confidence intervals generated from those samples would contain the true population parameter (the true average number of chocolate chips, $\mu$).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When interpreting a *specific* realized interval (18.6 to 21.3), it is statistically rigorous to say we are "95% confident" that the interval covers the parameter. While it is technically incorrect to say there is a 95% probability that the fixed parameter lies within this specific range (as the parameter is not a random variable), the phrasing "We are 95% certain that the interval... includes the true average" is the standard, accepted interpretation of a confidence interval in graduate-level statistics. It effectively communicates the level of confidence we have in the estimation procedure that produced this specific interval.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2026-04-16T21:08:17Z</dcterms:modified>
  <cp:category/>
</cp:coreProperties>
</file>